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2F1EE" w14:textId="6E3EB656" w:rsidR="0088043F" w:rsidRPr="009E3B7E" w:rsidRDefault="003A4B3B" w:rsidP="00E80EB4">
      <w:pPr>
        <w:pStyle w:val="Heading1"/>
        <w:keepNext w:val="0"/>
        <w:keepLines w:val="0"/>
        <w:spacing w:before="0" w:after="0" w:line="360" w:lineRule="auto"/>
        <w:rPr>
          <w:rFonts w:ascii="Times New Roman" w:hAnsi="Times New Roman" w:cs="Times New Roman"/>
          <w:b/>
          <w:sz w:val="24"/>
          <w:szCs w:val="24"/>
        </w:rPr>
      </w:pPr>
      <w:r w:rsidRPr="009E3B7E">
        <w:rPr>
          <w:rFonts w:ascii="Times New Roman" w:hAnsi="Times New Roman" w:cs="Times New Roman"/>
          <w:b/>
          <w:sz w:val="24"/>
          <w:szCs w:val="24"/>
        </w:rPr>
        <w:t>The New Inheritance Paradigm: Heritage in, of and after the Anthropocene</w:t>
      </w:r>
    </w:p>
    <w:p w14:paraId="7E82F1EF" w14:textId="71819C32" w:rsidR="0088043F" w:rsidRDefault="009F3438" w:rsidP="00E80EB4">
      <w:pPr>
        <w:spacing w:line="360" w:lineRule="auto"/>
        <w:rPr>
          <w:rFonts w:ascii="Times New Roman" w:hAnsi="Times New Roman" w:cs="Times New Roman"/>
          <w:sz w:val="24"/>
          <w:szCs w:val="24"/>
        </w:rPr>
      </w:pPr>
      <w:r w:rsidRPr="009E3B7E">
        <w:rPr>
          <w:rFonts w:ascii="Times New Roman" w:hAnsi="Times New Roman" w:cs="Times New Roman"/>
          <w:sz w:val="24"/>
          <w:szCs w:val="24"/>
        </w:rPr>
        <w:t>Colin Sterling &amp; Rodney Harrison</w:t>
      </w:r>
    </w:p>
    <w:p w14:paraId="76E552B1" w14:textId="77777777" w:rsidR="00D00ABE" w:rsidRDefault="00D00ABE" w:rsidP="00E80EB4">
      <w:pPr>
        <w:spacing w:line="360" w:lineRule="auto"/>
        <w:rPr>
          <w:rFonts w:ascii="Times New Roman" w:hAnsi="Times New Roman" w:cs="Times New Roman"/>
          <w:sz w:val="24"/>
          <w:szCs w:val="24"/>
        </w:rPr>
      </w:pPr>
    </w:p>
    <w:p w14:paraId="7A6263C0" w14:textId="16D92EFC" w:rsidR="00D00ABE" w:rsidRPr="009E3B7E" w:rsidRDefault="00D00ABE" w:rsidP="00E80EB4">
      <w:pPr>
        <w:spacing w:line="360" w:lineRule="auto"/>
        <w:rPr>
          <w:rFonts w:ascii="Times New Roman" w:hAnsi="Times New Roman" w:cs="Times New Roman"/>
          <w:sz w:val="24"/>
          <w:szCs w:val="24"/>
        </w:rPr>
      </w:pPr>
      <w:r>
        <w:rPr>
          <w:rFonts w:ascii="Times New Roman" w:hAnsi="Times New Roman" w:cs="Times New Roman"/>
          <w:sz w:val="24"/>
          <w:szCs w:val="24"/>
        </w:rPr>
        <w:t>Forthcoming i</w:t>
      </w:r>
      <w:r w:rsidRPr="00D00ABE">
        <w:rPr>
          <w:rFonts w:ascii="Times New Roman" w:hAnsi="Times New Roman" w:cs="Times New Roman"/>
          <w:sz w:val="24"/>
          <w:szCs w:val="24"/>
        </w:rPr>
        <w:t xml:space="preserve">n R. Ghosn and E. </w:t>
      </w:r>
      <w:proofErr w:type="spellStart"/>
      <w:r w:rsidRPr="00D00ABE">
        <w:rPr>
          <w:rFonts w:ascii="Times New Roman" w:hAnsi="Times New Roman" w:cs="Times New Roman"/>
          <w:sz w:val="24"/>
          <w:szCs w:val="24"/>
        </w:rPr>
        <w:t>Jazairy</w:t>
      </w:r>
      <w:proofErr w:type="spellEnd"/>
      <w:r w:rsidRPr="00D00ABE">
        <w:rPr>
          <w:rFonts w:ascii="Times New Roman" w:hAnsi="Times New Roman" w:cs="Times New Roman"/>
          <w:sz w:val="24"/>
          <w:szCs w:val="24"/>
        </w:rPr>
        <w:t xml:space="preserve"> (eds) </w:t>
      </w:r>
      <w:r>
        <w:rPr>
          <w:rFonts w:ascii="Times New Roman" w:hAnsi="Times New Roman" w:cs="Times New Roman"/>
          <w:sz w:val="24"/>
          <w:szCs w:val="24"/>
        </w:rPr>
        <w:t xml:space="preserve">2023. </w:t>
      </w:r>
      <w:r w:rsidRPr="00D00ABE">
        <w:rPr>
          <w:rFonts w:ascii="Times New Roman" w:hAnsi="Times New Roman" w:cs="Times New Roman"/>
          <w:i/>
          <w:iCs/>
          <w:sz w:val="24"/>
          <w:szCs w:val="24"/>
        </w:rPr>
        <w:t>Climate Inheritance</w:t>
      </w:r>
      <w:r w:rsidRPr="00D00ABE">
        <w:rPr>
          <w:rFonts w:ascii="Times New Roman" w:hAnsi="Times New Roman" w:cs="Times New Roman"/>
          <w:sz w:val="24"/>
          <w:szCs w:val="24"/>
        </w:rPr>
        <w:t xml:space="preserve">. </w:t>
      </w:r>
      <w:proofErr w:type="spellStart"/>
      <w:r w:rsidRPr="00D00ABE">
        <w:rPr>
          <w:rFonts w:ascii="Times New Roman" w:hAnsi="Times New Roman" w:cs="Times New Roman"/>
          <w:sz w:val="24"/>
          <w:szCs w:val="24"/>
        </w:rPr>
        <w:t>Actar</w:t>
      </w:r>
      <w:proofErr w:type="spellEnd"/>
      <w:r w:rsidRPr="00D00ABE">
        <w:rPr>
          <w:rFonts w:ascii="Times New Roman" w:hAnsi="Times New Roman" w:cs="Times New Roman"/>
          <w:sz w:val="24"/>
          <w:szCs w:val="24"/>
        </w:rPr>
        <w:t xml:space="preserve"> Publishers. </w:t>
      </w:r>
    </w:p>
    <w:p w14:paraId="568CF60A" w14:textId="005E023B" w:rsidR="00E80EB4" w:rsidRPr="009E3B7E" w:rsidRDefault="00E80EB4" w:rsidP="00E80EB4">
      <w:pPr>
        <w:spacing w:line="360" w:lineRule="auto"/>
        <w:rPr>
          <w:rFonts w:ascii="Times New Roman" w:hAnsi="Times New Roman" w:cs="Times New Roman"/>
          <w:b/>
          <w:sz w:val="24"/>
          <w:szCs w:val="24"/>
        </w:rPr>
      </w:pPr>
    </w:p>
    <w:p w14:paraId="79485CC3" w14:textId="039F8109" w:rsidR="00B537C7" w:rsidRPr="009E3B7E" w:rsidRDefault="00A44B30" w:rsidP="00E80EB4">
      <w:pPr>
        <w:spacing w:line="360" w:lineRule="auto"/>
        <w:rPr>
          <w:rFonts w:ascii="Times New Roman" w:hAnsi="Times New Roman" w:cs="Times New Roman"/>
          <w:sz w:val="24"/>
          <w:szCs w:val="24"/>
        </w:rPr>
      </w:pPr>
      <w:r>
        <w:rPr>
          <w:rFonts w:ascii="Times New Roman" w:hAnsi="Times New Roman" w:cs="Times New Roman"/>
          <w:bCs/>
          <w:sz w:val="24"/>
          <w:szCs w:val="24"/>
        </w:rPr>
        <w:t>C</w:t>
      </w:r>
      <w:r w:rsidR="00496DB7" w:rsidRPr="009E3B7E">
        <w:rPr>
          <w:rFonts w:ascii="Times New Roman" w:hAnsi="Times New Roman" w:cs="Times New Roman"/>
          <w:bCs/>
          <w:sz w:val="24"/>
          <w:szCs w:val="24"/>
        </w:rPr>
        <w:t>limate change and the Anthropocene are defined by intersecting patterns of cultural and ecological inheritance</w:t>
      </w:r>
      <w:r>
        <w:rPr>
          <w:rFonts w:ascii="Times New Roman" w:hAnsi="Times New Roman" w:cs="Times New Roman"/>
          <w:bCs/>
          <w:sz w:val="24"/>
          <w:szCs w:val="24"/>
        </w:rPr>
        <w:t xml:space="preserve"> that </w:t>
      </w:r>
      <w:r w:rsidRPr="009E3B7E">
        <w:rPr>
          <w:rFonts w:ascii="Times New Roman" w:hAnsi="Times New Roman" w:cs="Times New Roman"/>
          <w:bCs/>
          <w:sz w:val="24"/>
          <w:szCs w:val="24"/>
        </w:rPr>
        <w:t>unfold in time</w:t>
      </w:r>
      <w:r w:rsidR="00496DB7" w:rsidRPr="009E3B7E">
        <w:rPr>
          <w:rFonts w:ascii="Times New Roman" w:hAnsi="Times New Roman" w:cs="Times New Roman"/>
          <w:bCs/>
          <w:sz w:val="24"/>
          <w:szCs w:val="24"/>
        </w:rPr>
        <w:t>.</w:t>
      </w:r>
      <w:r w:rsidR="00F97BC5" w:rsidRPr="009E3B7E">
        <w:rPr>
          <w:rFonts w:ascii="Times New Roman" w:hAnsi="Times New Roman" w:cs="Times New Roman"/>
          <w:bCs/>
          <w:sz w:val="24"/>
          <w:szCs w:val="24"/>
        </w:rPr>
        <w:t xml:space="preserve"> To inherit – to take on and pass down </w:t>
      </w:r>
      <w:r w:rsidR="007E7BB5" w:rsidRPr="009E3B7E">
        <w:rPr>
          <w:rFonts w:ascii="Times New Roman" w:hAnsi="Times New Roman" w:cs="Times New Roman"/>
          <w:bCs/>
          <w:sz w:val="24"/>
          <w:szCs w:val="24"/>
        </w:rPr>
        <w:t xml:space="preserve">knowledge, beliefs, values, genes or property </w:t>
      </w:r>
      <w:r w:rsidR="00F97BC5" w:rsidRPr="009E3B7E">
        <w:rPr>
          <w:rFonts w:ascii="Times New Roman" w:hAnsi="Times New Roman" w:cs="Times New Roman"/>
          <w:bCs/>
          <w:sz w:val="24"/>
          <w:szCs w:val="24"/>
        </w:rPr>
        <w:t xml:space="preserve">across generations – is a multi-temporal </w:t>
      </w:r>
      <w:r w:rsidR="008F1051" w:rsidRPr="009E3B7E">
        <w:rPr>
          <w:rFonts w:ascii="Times New Roman" w:hAnsi="Times New Roman" w:cs="Times New Roman"/>
          <w:bCs/>
          <w:sz w:val="24"/>
          <w:szCs w:val="24"/>
        </w:rPr>
        <w:t>process</w:t>
      </w:r>
      <w:r w:rsidR="00F97BC5" w:rsidRPr="009E3B7E">
        <w:rPr>
          <w:rFonts w:ascii="Times New Roman" w:hAnsi="Times New Roman" w:cs="Times New Roman"/>
          <w:bCs/>
          <w:sz w:val="24"/>
          <w:szCs w:val="24"/>
        </w:rPr>
        <w:t>, one that crosses the boundaries of the social and the natural.</w:t>
      </w:r>
      <w:r w:rsidR="002B727E" w:rsidRPr="009E3B7E">
        <w:rPr>
          <w:rFonts w:ascii="Times New Roman" w:hAnsi="Times New Roman" w:cs="Times New Roman"/>
          <w:bCs/>
          <w:sz w:val="24"/>
          <w:szCs w:val="24"/>
        </w:rPr>
        <w:t xml:space="preserve"> </w:t>
      </w:r>
      <w:r w:rsidR="007E7BB5" w:rsidRPr="009E3B7E">
        <w:rPr>
          <w:rFonts w:ascii="Times New Roman" w:hAnsi="Times New Roman" w:cs="Times New Roman"/>
          <w:bCs/>
          <w:sz w:val="24"/>
          <w:szCs w:val="24"/>
        </w:rPr>
        <w:t>Understanding environmental change and degradation in this way</w:t>
      </w:r>
      <w:r w:rsidR="00336537" w:rsidRPr="009E3B7E">
        <w:rPr>
          <w:rFonts w:ascii="Times New Roman" w:hAnsi="Times New Roman" w:cs="Times New Roman"/>
          <w:bCs/>
          <w:sz w:val="24"/>
          <w:szCs w:val="24"/>
        </w:rPr>
        <w:t xml:space="preserve"> focuses attention on</w:t>
      </w:r>
      <w:r w:rsidR="00C50982" w:rsidRPr="009E3B7E">
        <w:rPr>
          <w:rFonts w:ascii="Times New Roman" w:hAnsi="Times New Roman" w:cs="Times New Roman"/>
          <w:bCs/>
          <w:sz w:val="24"/>
          <w:szCs w:val="24"/>
        </w:rPr>
        <w:t xml:space="preserve"> </w:t>
      </w:r>
      <w:r w:rsidR="00AA37D0" w:rsidRPr="009E3B7E">
        <w:rPr>
          <w:rFonts w:ascii="Times New Roman" w:hAnsi="Times New Roman" w:cs="Times New Roman"/>
          <w:bCs/>
          <w:sz w:val="24"/>
          <w:szCs w:val="24"/>
        </w:rPr>
        <w:t xml:space="preserve">the </w:t>
      </w:r>
      <w:r w:rsidR="00B537C7" w:rsidRPr="009E3B7E">
        <w:rPr>
          <w:rFonts w:ascii="Times New Roman" w:hAnsi="Times New Roman" w:cs="Times New Roman"/>
          <w:bCs/>
          <w:sz w:val="24"/>
          <w:szCs w:val="24"/>
        </w:rPr>
        <w:t>highly asymmetrical modes of</w:t>
      </w:r>
      <w:r w:rsidR="002B727E" w:rsidRPr="009E3B7E">
        <w:rPr>
          <w:rFonts w:ascii="Times New Roman" w:hAnsi="Times New Roman" w:cs="Times New Roman"/>
          <w:bCs/>
          <w:sz w:val="24"/>
          <w:szCs w:val="24"/>
        </w:rPr>
        <w:t xml:space="preserve"> accumulatio</w:t>
      </w:r>
      <w:r w:rsidR="00C50982" w:rsidRPr="009E3B7E">
        <w:rPr>
          <w:rFonts w:ascii="Times New Roman" w:hAnsi="Times New Roman" w:cs="Times New Roman"/>
          <w:bCs/>
          <w:sz w:val="24"/>
          <w:szCs w:val="24"/>
        </w:rPr>
        <w:t>n</w:t>
      </w:r>
      <w:r w:rsidR="002B727E" w:rsidRPr="009E3B7E">
        <w:rPr>
          <w:rFonts w:ascii="Times New Roman" w:hAnsi="Times New Roman" w:cs="Times New Roman"/>
          <w:bCs/>
          <w:sz w:val="24"/>
          <w:szCs w:val="24"/>
        </w:rPr>
        <w:t xml:space="preserve"> and transmission</w:t>
      </w:r>
      <w:r w:rsidR="00C50982" w:rsidRPr="009E3B7E">
        <w:rPr>
          <w:rFonts w:ascii="Times New Roman" w:hAnsi="Times New Roman" w:cs="Times New Roman"/>
          <w:bCs/>
          <w:sz w:val="24"/>
          <w:szCs w:val="24"/>
        </w:rPr>
        <w:t xml:space="preserve"> that </w:t>
      </w:r>
      <w:r w:rsidR="00B537C7" w:rsidRPr="009E3B7E">
        <w:rPr>
          <w:rFonts w:ascii="Times New Roman" w:hAnsi="Times New Roman" w:cs="Times New Roman"/>
          <w:bCs/>
          <w:sz w:val="24"/>
          <w:szCs w:val="24"/>
        </w:rPr>
        <w:t>underpin</w:t>
      </w:r>
      <w:r w:rsidR="00C50982" w:rsidRPr="009E3B7E">
        <w:rPr>
          <w:rFonts w:ascii="Times New Roman" w:hAnsi="Times New Roman" w:cs="Times New Roman"/>
          <w:bCs/>
          <w:sz w:val="24"/>
          <w:szCs w:val="24"/>
        </w:rPr>
        <w:t xml:space="preserve"> </w:t>
      </w:r>
      <w:r w:rsidR="00B537C7" w:rsidRPr="009E3B7E">
        <w:rPr>
          <w:rFonts w:ascii="Times New Roman" w:hAnsi="Times New Roman" w:cs="Times New Roman"/>
          <w:bCs/>
          <w:sz w:val="24"/>
          <w:szCs w:val="24"/>
        </w:rPr>
        <w:t>many of the urgent debates of our time, from reparations for loss and damage to the politics of planetary stewardship</w:t>
      </w:r>
      <w:r w:rsidR="00C50982" w:rsidRPr="009E3B7E">
        <w:rPr>
          <w:rFonts w:ascii="Times New Roman" w:hAnsi="Times New Roman" w:cs="Times New Roman"/>
          <w:bCs/>
          <w:sz w:val="24"/>
          <w:szCs w:val="24"/>
        </w:rPr>
        <w:t xml:space="preserve">. As Thom </w:t>
      </w:r>
      <w:r w:rsidR="00AA37D0" w:rsidRPr="009E3B7E">
        <w:rPr>
          <w:rFonts w:ascii="Times New Roman" w:hAnsi="Times New Roman" w:cs="Times New Roman"/>
          <w:sz w:val="24"/>
          <w:szCs w:val="24"/>
        </w:rPr>
        <w:t>v</w:t>
      </w:r>
      <w:r w:rsidR="00C50982" w:rsidRPr="009E3B7E">
        <w:rPr>
          <w:rFonts w:ascii="Times New Roman" w:hAnsi="Times New Roman" w:cs="Times New Roman"/>
          <w:sz w:val="24"/>
          <w:szCs w:val="24"/>
        </w:rPr>
        <w:t>an Dooren asks, ‘in a time of ongoing extinction and colonization, a time in many ways characterized by interwoven patterns of biological and cultural loss, what does it mean to inherit responsibly?’</w:t>
      </w:r>
      <w:r>
        <w:rPr>
          <w:rStyle w:val="EndnoteReference"/>
          <w:rFonts w:ascii="Times New Roman" w:hAnsi="Times New Roman" w:cs="Times New Roman"/>
          <w:sz w:val="24"/>
          <w:szCs w:val="24"/>
        </w:rPr>
        <w:endnoteReference w:id="1"/>
      </w:r>
      <w:r w:rsidR="008F1051" w:rsidRPr="009E3B7E">
        <w:rPr>
          <w:rFonts w:ascii="Times New Roman" w:hAnsi="Times New Roman" w:cs="Times New Roman"/>
          <w:sz w:val="24"/>
          <w:szCs w:val="24"/>
        </w:rPr>
        <w:t xml:space="preserve"> </w:t>
      </w:r>
    </w:p>
    <w:p w14:paraId="049ACB26" w14:textId="77777777" w:rsidR="00B537C7" w:rsidRPr="009E3B7E" w:rsidRDefault="00B537C7" w:rsidP="00E80EB4">
      <w:pPr>
        <w:spacing w:line="360" w:lineRule="auto"/>
        <w:rPr>
          <w:rFonts w:ascii="Times New Roman" w:hAnsi="Times New Roman" w:cs="Times New Roman"/>
          <w:sz w:val="24"/>
          <w:szCs w:val="24"/>
        </w:rPr>
      </w:pPr>
    </w:p>
    <w:p w14:paraId="57EB50D4" w14:textId="6E02F31B" w:rsidR="002567E5" w:rsidRPr="009E3B7E" w:rsidRDefault="007868FC" w:rsidP="00E80EB4">
      <w:pPr>
        <w:spacing w:line="360" w:lineRule="auto"/>
        <w:rPr>
          <w:rFonts w:ascii="Times New Roman" w:hAnsi="Times New Roman" w:cs="Times New Roman"/>
          <w:sz w:val="24"/>
          <w:szCs w:val="24"/>
        </w:rPr>
      </w:pPr>
      <w:r w:rsidRPr="009E3B7E">
        <w:rPr>
          <w:rFonts w:ascii="Times New Roman" w:hAnsi="Times New Roman" w:cs="Times New Roman"/>
          <w:sz w:val="24"/>
          <w:szCs w:val="24"/>
        </w:rPr>
        <w:t>Our response to this question builds on recent work in</w:t>
      </w:r>
      <w:r w:rsidR="008F1051" w:rsidRPr="009E3B7E">
        <w:rPr>
          <w:rFonts w:ascii="Times New Roman" w:hAnsi="Times New Roman" w:cs="Times New Roman"/>
          <w:bCs/>
          <w:sz w:val="24"/>
          <w:szCs w:val="24"/>
        </w:rPr>
        <w:t xml:space="preserve"> critical heritage studies – </w:t>
      </w:r>
      <w:r w:rsidR="00D56FE6" w:rsidRPr="009E3B7E">
        <w:rPr>
          <w:rFonts w:ascii="Times New Roman" w:hAnsi="Times New Roman" w:cs="Times New Roman"/>
          <w:bCs/>
          <w:sz w:val="24"/>
          <w:szCs w:val="24"/>
        </w:rPr>
        <w:t>an emerging discipline that</w:t>
      </w:r>
      <w:r w:rsidR="008F1051" w:rsidRPr="009E3B7E">
        <w:rPr>
          <w:rFonts w:ascii="Times New Roman" w:hAnsi="Times New Roman" w:cs="Times New Roman"/>
          <w:bCs/>
          <w:sz w:val="24"/>
          <w:szCs w:val="24"/>
        </w:rPr>
        <w:t xml:space="preserve"> seeks to address the complexities and ambiguities of inheritance across varied fields of praxis</w:t>
      </w:r>
      <w:r w:rsidR="00B537C7" w:rsidRPr="009E3B7E">
        <w:rPr>
          <w:rFonts w:ascii="Times New Roman" w:hAnsi="Times New Roman" w:cs="Times New Roman"/>
          <w:bCs/>
          <w:sz w:val="24"/>
          <w:szCs w:val="24"/>
        </w:rPr>
        <w:t xml:space="preserve">. </w:t>
      </w:r>
      <w:r w:rsidR="00B537C7" w:rsidRPr="009E3B7E">
        <w:rPr>
          <w:rFonts w:ascii="Times New Roman" w:hAnsi="Times New Roman" w:cs="Times New Roman"/>
          <w:sz w:val="24"/>
          <w:szCs w:val="24"/>
        </w:rPr>
        <w:t xml:space="preserve">Inheritance emerges from the Latin </w:t>
      </w:r>
      <w:proofErr w:type="spellStart"/>
      <w:r w:rsidR="00B537C7" w:rsidRPr="009E3B7E">
        <w:rPr>
          <w:rFonts w:ascii="Times New Roman" w:hAnsi="Times New Roman" w:cs="Times New Roman"/>
          <w:i/>
          <w:sz w:val="24"/>
          <w:szCs w:val="24"/>
        </w:rPr>
        <w:t>inheriditare</w:t>
      </w:r>
      <w:proofErr w:type="spellEnd"/>
      <w:r w:rsidR="00B537C7" w:rsidRPr="009E3B7E">
        <w:rPr>
          <w:rFonts w:ascii="Times New Roman" w:hAnsi="Times New Roman" w:cs="Times New Roman"/>
          <w:sz w:val="24"/>
          <w:szCs w:val="24"/>
        </w:rPr>
        <w:t xml:space="preserve"> – to appoint as an heir – before moving through Old French and Middle English to attain its present definition: to receive or derive something (money, land, a title, a personal quality or predisposition) from those who came before. Heritage can be traced to the same origin, describing in Old French the property that was inherited by a person’s heirs. Crucially, the </w:t>
      </w:r>
      <w:r w:rsidR="00B537C7" w:rsidRPr="009E3B7E">
        <w:rPr>
          <w:rFonts w:ascii="Times New Roman" w:hAnsi="Times New Roman" w:cs="Times New Roman"/>
          <w:i/>
          <w:sz w:val="24"/>
          <w:szCs w:val="24"/>
        </w:rPr>
        <w:t>process</w:t>
      </w:r>
      <w:r w:rsidR="00B537C7" w:rsidRPr="009E3B7E">
        <w:rPr>
          <w:rFonts w:ascii="Times New Roman" w:hAnsi="Times New Roman" w:cs="Times New Roman"/>
          <w:sz w:val="24"/>
          <w:szCs w:val="24"/>
        </w:rPr>
        <w:t xml:space="preserve"> of inheritance depends on heritable things or traits – an adjective from which the noun ‘heritage’ is ultimately derived. The traditional concerns of heritage stem from this linguistic genealogy: cultural property, traditions, memories and ways of life are ‘passed on’ from one generation to another, forming a composite inheritance that must be cared for in some way so that future generations might also benefit from this bequest. Heritage in this sense describes nothing less than </w:t>
      </w:r>
      <w:r w:rsidR="00A44B30">
        <w:rPr>
          <w:rFonts w:ascii="Times New Roman" w:hAnsi="Times New Roman" w:cs="Times New Roman"/>
          <w:sz w:val="24"/>
          <w:szCs w:val="24"/>
        </w:rPr>
        <w:t>“</w:t>
      </w:r>
      <w:r w:rsidR="00B537C7" w:rsidRPr="009E3B7E">
        <w:rPr>
          <w:rFonts w:ascii="Times New Roman" w:hAnsi="Times New Roman" w:cs="Times New Roman"/>
          <w:sz w:val="24"/>
          <w:szCs w:val="24"/>
        </w:rPr>
        <w:t>the possessions that make us who we are</w:t>
      </w:r>
      <w:r w:rsidR="00A44B30">
        <w:rPr>
          <w:rFonts w:ascii="Times New Roman" w:hAnsi="Times New Roman" w:cs="Times New Roman"/>
          <w:sz w:val="24"/>
          <w:szCs w:val="24"/>
        </w:rPr>
        <w:t>,”</w:t>
      </w:r>
      <w:r w:rsidR="00A44B30">
        <w:rPr>
          <w:rStyle w:val="EndnoteReference"/>
          <w:rFonts w:ascii="Times New Roman" w:hAnsi="Times New Roman" w:cs="Times New Roman"/>
          <w:sz w:val="24"/>
          <w:szCs w:val="24"/>
        </w:rPr>
        <w:endnoteReference w:id="2"/>
      </w:r>
      <w:r w:rsidR="00B537C7" w:rsidRPr="009E3B7E">
        <w:rPr>
          <w:rFonts w:ascii="Times New Roman" w:hAnsi="Times New Roman" w:cs="Times New Roman"/>
          <w:sz w:val="24"/>
          <w:szCs w:val="24"/>
        </w:rPr>
        <w:t xml:space="preserve"> an </w:t>
      </w:r>
      <w:r w:rsidR="0061700F" w:rsidRPr="009E3B7E">
        <w:rPr>
          <w:rFonts w:ascii="Times New Roman" w:hAnsi="Times New Roman" w:cs="Times New Roman"/>
          <w:sz w:val="24"/>
          <w:szCs w:val="24"/>
        </w:rPr>
        <w:t xml:space="preserve">ontological reading </w:t>
      </w:r>
      <w:r w:rsidR="00B537C7" w:rsidRPr="009E3B7E">
        <w:rPr>
          <w:rFonts w:ascii="Times New Roman" w:hAnsi="Times New Roman" w:cs="Times New Roman"/>
          <w:sz w:val="24"/>
          <w:szCs w:val="24"/>
        </w:rPr>
        <w:t xml:space="preserve">that corresponds with Derrida’s </w:t>
      </w:r>
      <w:r w:rsidR="0061700F" w:rsidRPr="009E3B7E">
        <w:rPr>
          <w:rFonts w:ascii="Times New Roman" w:hAnsi="Times New Roman" w:cs="Times New Roman"/>
          <w:sz w:val="24"/>
          <w:szCs w:val="24"/>
        </w:rPr>
        <w:t xml:space="preserve">memorable </w:t>
      </w:r>
      <w:r w:rsidR="00B537C7" w:rsidRPr="009E3B7E">
        <w:rPr>
          <w:rFonts w:ascii="Times New Roman" w:hAnsi="Times New Roman" w:cs="Times New Roman"/>
          <w:sz w:val="24"/>
          <w:szCs w:val="24"/>
        </w:rPr>
        <w:t xml:space="preserve">formulation of inheritance: </w:t>
      </w:r>
      <w:r w:rsidR="00CE1123">
        <w:rPr>
          <w:rFonts w:ascii="Times New Roman" w:hAnsi="Times New Roman" w:cs="Times New Roman"/>
          <w:sz w:val="24"/>
          <w:szCs w:val="24"/>
        </w:rPr>
        <w:t>“</w:t>
      </w:r>
      <w:r w:rsidR="00B537C7" w:rsidRPr="009E3B7E">
        <w:rPr>
          <w:rFonts w:ascii="Times New Roman" w:hAnsi="Times New Roman" w:cs="Times New Roman"/>
          <w:sz w:val="24"/>
          <w:szCs w:val="24"/>
        </w:rPr>
        <w:t>All the questions of the subject of being or of what is to be (or not to be) are questions of inheritance … the being of what we are is first of all inheritance</w:t>
      </w:r>
      <w:r w:rsidR="00CE1123">
        <w:rPr>
          <w:rFonts w:ascii="Times New Roman" w:hAnsi="Times New Roman" w:cs="Times New Roman"/>
          <w:sz w:val="24"/>
          <w:szCs w:val="24"/>
        </w:rPr>
        <w:t>.</w:t>
      </w:r>
      <w:r w:rsidR="00B537C7" w:rsidRPr="009E3B7E">
        <w:rPr>
          <w:rFonts w:ascii="Times New Roman" w:hAnsi="Times New Roman" w:cs="Times New Roman"/>
          <w:sz w:val="24"/>
          <w:szCs w:val="24"/>
        </w:rPr>
        <w:t>”</w:t>
      </w:r>
      <w:r w:rsidR="00CE1123">
        <w:rPr>
          <w:rStyle w:val="EndnoteReference"/>
          <w:rFonts w:ascii="Times New Roman" w:hAnsi="Times New Roman" w:cs="Times New Roman"/>
          <w:sz w:val="24"/>
          <w:szCs w:val="24"/>
        </w:rPr>
        <w:endnoteReference w:id="3"/>
      </w:r>
      <w:r w:rsidR="00CE1123">
        <w:rPr>
          <w:rFonts w:ascii="Times New Roman" w:hAnsi="Times New Roman" w:cs="Times New Roman"/>
          <w:sz w:val="24"/>
          <w:szCs w:val="24"/>
        </w:rPr>
        <w:t xml:space="preserve"> I</w:t>
      </w:r>
      <w:r w:rsidR="00D56FE6" w:rsidRPr="009E3B7E">
        <w:rPr>
          <w:rFonts w:ascii="Times New Roman" w:hAnsi="Times New Roman" w:cs="Times New Roman"/>
          <w:sz w:val="24"/>
          <w:szCs w:val="24"/>
        </w:rPr>
        <w:t>nheritance in Derrida’s thinking is also a duty or responsibility, something owed by the present to those who have come before and will come after. In this sense inheritance is “never a given … it is always a task</w:t>
      </w:r>
      <w:r w:rsidR="00CE1123">
        <w:rPr>
          <w:rFonts w:ascii="Times New Roman" w:hAnsi="Times New Roman" w:cs="Times New Roman"/>
          <w:sz w:val="24"/>
          <w:szCs w:val="24"/>
        </w:rPr>
        <w:t>.</w:t>
      </w:r>
      <w:r w:rsidR="00D56FE6" w:rsidRPr="009E3B7E">
        <w:rPr>
          <w:rFonts w:ascii="Times New Roman" w:hAnsi="Times New Roman" w:cs="Times New Roman"/>
          <w:sz w:val="24"/>
          <w:szCs w:val="24"/>
        </w:rPr>
        <w:t>”</w:t>
      </w:r>
      <w:r w:rsidR="00CE1123">
        <w:rPr>
          <w:rStyle w:val="EndnoteReference"/>
          <w:rFonts w:ascii="Times New Roman" w:hAnsi="Times New Roman" w:cs="Times New Roman"/>
          <w:sz w:val="24"/>
          <w:szCs w:val="24"/>
        </w:rPr>
        <w:endnoteReference w:id="4"/>
      </w:r>
      <w:r w:rsidR="00CE1123">
        <w:rPr>
          <w:rFonts w:ascii="Times New Roman" w:hAnsi="Times New Roman" w:cs="Times New Roman"/>
          <w:sz w:val="24"/>
          <w:szCs w:val="24"/>
        </w:rPr>
        <w:t xml:space="preserve"> </w:t>
      </w:r>
      <w:r w:rsidR="00D56FE6" w:rsidRPr="009E3B7E">
        <w:rPr>
          <w:rFonts w:ascii="Times New Roman" w:hAnsi="Times New Roman" w:cs="Times New Roman"/>
          <w:sz w:val="24"/>
          <w:szCs w:val="24"/>
        </w:rPr>
        <w:t xml:space="preserve">It is here that we can </w:t>
      </w:r>
      <w:r w:rsidR="00D56FE6" w:rsidRPr="009E3B7E">
        <w:rPr>
          <w:rFonts w:ascii="Times New Roman" w:hAnsi="Times New Roman" w:cs="Times New Roman"/>
          <w:sz w:val="24"/>
          <w:szCs w:val="24"/>
        </w:rPr>
        <w:lastRenderedPageBreak/>
        <w:t xml:space="preserve">begin to locate the fundamental work of </w:t>
      </w:r>
      <w:r w:rsidR="00D56FE6" w:rsidRPr="009E3B7E">
        <w:rPr>
          <w:rFonts w:ascii="Times New Roman" w:hAnsi="Times New Roman" w:cs="Times New Roman"/>
          <w:i/>
          <w:iCs/>
          <w:sz w:val="24"/>
          <w:szCs w:val="24"/>
        </w:rPr>
        <w:t>critical</w:t>
      </w:r>
      <w:r w:rsidR="00D56FE6" w:rsidRPr="009E3B7E">
        <w:rPr>
          <w:rFonts w:ascii="Times New Roman" w:hAnsi="Times New Roman" w:cs="Times New Roman"/>
          <w:sz w:val="24"/>
          <w:szCs w:val="24"/>
        </w:rPr>
        <w:t xml:space="preserve"> heritage studies in relation to the all-pervasive processes and patterns of inheritance that structure human and more-than-human worlds. </w:t>
      </w:r>
    </w:p>
    <w:p w14:paraId="0C7D8FAA" w14:textId="77777777" w:rsidR="002567E5" w:rsidRPr="009E3B7E" w:rsidRDefault="002567E5" w:rsidP="00E80EB4">
      <w:pPr>
        <w:spacing w:line="360" w:lineRule="auto"/>
        <w:rPr>
          <w:rFonts w:ascii="Times New Roman" w:hAnsi="Times New Roman" w:cs="Times New Roman"/>
          <w:sz w:val="24"/>
          <w:szCs w:val="24"/>
        </w:rPr>
      </w:pPr>
    </w:p>
    <w:p w14:paraId="207E6BA4" w14:textId="697B6D2C" w:rsidR="0015088A" w:rsidRPr="009E3B7E" w:rsidRDefault="0015088A" w:rsidP="00E80EB4">
      <w:pPr>
        <w:spacing w:line="360" w:lineRule="auto"/>
        <w:rPr>
          <w:rFonts w:ascii="Times New Roman" w:hAnsi="Times New Roman" w:cs="Times New Roman"/>
          <w:sz w:val="24"/>
          <w:szCs w:val="24"/>
        </w:rPr>
      </w:pPr>
      <w:r w:rsidRPr="009E3B7E">
        <w:rPr>
          <w:rFonts w:ascii="Times New Roman" w:hAnsi="Times New Roman" w:cs="Times New Roman"/>
          <w:sz w:val="24"/>
          <w:szCs w:val="24"/>
        </w:rPr>
        <w:t>A first point to note is that w</w:t>
      </w:r>
      <w:r w:rsidR="00D56FE6" w:rsidRPr="009E3B7E">
        <w:rPr>
          <w:rFonts w:ascii="Times New Roman" w:hAnsi="Times New Roman" w:cs="Times New Roman"/>
          <w:sz w:val="24"/>
          <w:szCs w:val="24"/>
        </w:rPr>
        <w:t xml:space="preserve">hile the notion of a deep-rooted, unchanging inheritance still underlies many aspects of heritage discourse (particularly those associated with nativism and conservatism), critical thinking in this field has tended to highlight the gap between </w:t>
      </w:r>
      <w:r w:rsidR="00957170">
        <w:rPr>
          <w:rFonts w:ascii="Times New Roman" w:hAnsi="Times New Roman" w:cs="Times New Roman"/>
          <w:sz w:val="24"/>
          <w:szCs w:val="24"/>
        </w:rPr>
        <w:t>“</w:t>
      </w:r>
      <w:r w:rsidR="00D56FE6" w:rsidRPr="009E3B7E">
        <w:rPr>
          <w:rFonts w:ascii="Times New Roman" w:hAnsi="Times New Roman" w:cs="Times New Roman"/>
          <w:sz w:val="24"/>
          <w:szCs w:val="24"/>
        </w:rPr>
        <w:t>organically</w:t>
      </w:r>
      <w:r w:rsidR="00957170">
        <w:rPr>
          <w:rFonts w:ascii="Times New Roman" w:hAnsi="Times New Roman" w:cs="Times New Roman"/>
          <w:sz w:val="24"/>
          <w:szCs w:val="24"/>
        </w:rPr>
        <w:t>”</w:t>
      </w:r>
      <w:r w:rsidR="00D56FE6" w:rsidRPr="009E3B7E">
        <w:rPr>
          <w:rFonts w:ascii="Times New Roman" w:hAnsi="Times New Roman" w:cs="Times New Roman"/>
          <w:sz w:val="24"/>
          <w:szCs w:val="24"/>
        </w:rPr>
        <w:t xml:space="preserve"> inherited customs and the </w:t>
      </w:r>
      <w:r w:rsidR="00957170">
        <w:rPr>
          <w:rFonts w:ascii="Times New Roman" w:hAnsi="Times New Roman" w:cs="Times New Roman"/>
          <w:sz w:val="24"/>
          <w:szCs w:val="24"/>
        </w:rPr>
        <w:t>“</w:t>
      </w:r>
      <w:r w:rsidR="00D56FE6" w:rsidRPr="009E3B7E">
        <w:rPr>
          <w:rFonts w:ascii="Times New Roman" w:hAnsi="Times New Roman" w:cs="Times New Roman"/>
          <w:sz w:val="24"/>
          <w:szCs w:val="24"/>
        </w:rPr>
        <w:t>invented traditions</w:t>
      </w:r>
      <w:r w:rsidR="00957170">
        <w:rPr>
          <w:rFonts w:ascii="Times New Roman" w:hAnsi="Times New Roman" w:cs="Times New Roman"/>
          <w:sz w:val="24"/>
          <w:szCs w:val="24"/>
        </w:rPr>
        <w:t>”</w:t>
      </w:r>
      <w:r w:rsidR="00D56FE6" w:rsidRPr="009E3B7E">
        <w:rPr>
          <w:rFonts w:ascii="Times New Roman" w:hAnsi="Times New Roman" w:cs="Times New Roman"/>
          <w:sz w:val="24"/>
          <w:szCs w:val="24"/>
        </w:rPr>
        <w:t xml:space="preserve"> of modern heritage experiences</w:t>
      </w:r>
      <w:r w:rsidR="00CE1123">
        <w:rPr>
          <w:rFonts w:ascii="Times New Roman" w:hAnsi="Times New Roman" w:cs="Times New Roman"/>
          <w:sz w:val="24"/>
          <w:szCs w:val="24"/>
        </w:rPr>
        <w:t>.</w:t>
      </w:r>
      <w:r w:rsidR="00CE1123">
        <w:rPr>
          <w:rStyle w:val="EndnoteReference"/>
          <w:rFonts w:ascii="Times New Roman" w:hAnsi="Times New Roman" w:cs="Times New Roman"/>
          <w:sz w:val="24"/>
          <w:szCs w:val="24"/>
        </w:rPr>
        <w:endnoteReference w:id="5"/>
      </w:r>
      <w:r w:rsidR="00CE1123">
        <w:rPr>
          <w:rFonts w:ascii="Times New Roman" w:hAnsi="Times New Roman" w:cs="Times New Roman"/>
          <w:sz w:val="24"/>
          <w:szCs w:val="24"/>
        </w:rPr>
        <w:t xml:space="preserve"> </w:t>
      </w:r>
      <w:r w:rsidR="00D56FE6" w:rsidRPr="009E3B7E">
        <w:rPr>
          <w:rFonts w:ascii="Times New Roman" w:hAnsi="Times New Roman" w:cs="Times New Roman"/>
          <w:sz w:val="24"/>
          <w:szCs w:val="24"/>
        </w:rPr>
        <w:t xml:space="preserve">Heritage in this framework emerges from a </w:t>
      </w:r>
      <w:r w:rsidR="00D56FE6" w:rsidRPr="009E3B7E">
        <w:rPr>
          <w:rFonts w:ascii="Times New Roman" w:hAnsi="Times New Roman" w:cs="Times New Roman"/>
          <w:i/>
          <w:sz w:val="24"/>
          <w:szCs w:val="24"/>
        </w:rPr>
        <w:t>rupture</w:t>
      </w:r>
      <w:r w:rsidR="00D56FE6" w:rsidRPr="009E3B7E">
        <w:rPr>
          <w:rFonts w:ascii="Times New Roman" w:hAnsi="Times New Roman" w:cs="Times New Roman"/>
          <w:sz w:val="24"/>
          <w:szCs w:val="24"/>
        </w:rPr>
        <w:t xml:space="preserve"> of inheritance, brought about in different ways and at different times by forces such as the Industrial Revolution, colonialism, </w:t>
      </w:r>
      <w:r w:rsidR="007868FC" w:rsidRPr="009E3B7E">
        <w:rPr>
          <w:rFonts w:ascii="Times New Roman" w:hAnsi="Times New Roman" w:cs="Times New Roman"/>
          <w:sz w:val="24"/>
          <w:szCs w:val="24"/>
        </w:rPr>
        <w:t>urbanization</w:t>
      </w:r>
      <w:r w:rsidR="00D56FE6" w:rsidRPr="009E3B7E">
        <w:rPr>
          <w:rFonts w:ascii="Times New Roman" w:hAnsi="Times New Roman" w:cs="Times New Roman"/>
          <w:sz w:val="24"/>
          <w:szCs w:val="24"/>
        </w:rPr>
        <w:t xml:space="preserve">, </w:t>
      </w:r>
      <w:r w:rsidR="007868FC" w:rsidRPr="009E3B7E">
        <w:rPr>
          <w:rFonts w:ascii="Times New Roman" w:hAnsi="Times New Roman" w:cs="Times New Roman"/>
          <w:sz w:val="24"/>
          <w:szCs w:val="24"/>
        </w:rPr>
        <w:t>globalization</w:t>
      </w:r>
      <w:r w:rsidR="00D56FE6" w:rsidRPr="009E3B7E">
        <w:rPr>
          <w:rFonts w:ascii="Times New Roman" w:hAnsi="Times New Roman" w:cs="Times New Roman"/>
          <w:sz w:val="24"/>
          <w:szCs w:val="24"/>
        </w:rPr>
        <w:t xml:space="preserve"> and post-industrial forms of mass consumption.</w:t>
      </w:r>
      <w:r w:rsidRPr="009E3B7E">
        <w:rPr>
          <w:rFonts w:ascii="Times New Roman" w:hAnsi="Times New Roman" w:cs="Times New Roman"/>
          <w:sz w:val="24"/>
          <w:szCs w:val="24"/>
        </w:rPr>
        <w:t xml:space="preserve"> </w:t>
      </w:r>
      <w:r w:rsidR="007F7EEB">
        <w:rPr>
          <w:rFonts w:ascii="Times New Roman" w:hAnsi="Times New Roman" w:cs="Times New Roman"/>
          <w:sz w:val="24"/>
          <w:szCs w:val="24"/>
        </w:rPr>
        <w:t>I</w:t>
      </w:r>
      <w:r w:rsidRPr="009E3B7E">
        <w:rPr>
          <w:rFonts w:ascii="Times New Roman" w:hAnsi="Times New Roman" w:cs="Times New Roman"/>
          <w:sz w:val="24"/>
          <w:szCs w:val="24"/>
        </w:rPr>
        <w:t>n its modern and post-modern form</w:t>
      </w:r>
      <w:r w:rsidR="007F7EEB">
        <w:rPr>
          <w:rFonts w:ascii="Times New Roman" w:hAnsi="Times New Roman" w:cs="Times New Roman"/>
          <w:sz w:val="24"/>
          <w:szCs w:val="24"/>
        </w:rPr>
        <w:t>s, h</w:t>
      </w:r>
      <w:r w:rsidR="007F7EEB" w:rsidRPr="009E3B7E">
        <w:rPr>
          <w:rFonts w:ascii="Times New Roman" w:hAnsi="Times New Roman" w:cs="Times New Roman"/>
          <w:sz w:val="24"/>
          <w:szCs w:val="24"/>
        </w:rPr>
        <w:t>eritage</w:t>
      </w:r>
      <w:r w:rsidRPr="009E3B7E">
        <w:rPr>
          <w:rFonts w:ascii="Times New Roman" w:hAnsi="Times New Roman" w:cs="Times New Roman"/>
          <w:sz w:val="24"/>
          <w:szCs w:val="24"/>
        </w:rPr>
        <w:t xml:space="preserve"> fills the gap between past and present, evoking themes of continuity and nostalgia that are played out through historical consumption and a kind of kitsch romanticism, </w:t>
      </w:r>
      <w:r w:rsidR="005828B7" w:rsidRPr="009E3B7E">
        <w:rPr>
          <w:rFonts w:ascii="Times New Roman" w:hAnsi="Times New Roman" w:cs="Times New Roman"/>
          <w:sz w:val="24"/>
          <w:szCs w:val="24"/>
        </w:rPr>
        <w:t xml:space="preserve">typically </w:t>
      </w:r>
      <w:r w:rsidRPr="009E3B7E">
        <w:rPr>
          <w:rFonts w:ascii="Times New Roman" w:hAnsi="Times New Roman" w:cs="Times New Roman"/>
          <w:sz w:val="24"/>
          <w:szCs w:val="24"/>
        </w:rPr>
        <w:t xml:space="preserve">oriented towards the production of origin myths connecting territory, tradition, citizenship and the nation-state. This is not to say however that </w:t>
      </w:r>
      <w:r w:rsidR="00507033" w:rsidRPr="009E3B7E">
        <w:rPr>
          <w:rFonts w:ascii="Times New Roman" w:hAnsi="Times New Roman" w:cs="Times New Roman"/>
          <w:sz w:val="24"/>
          <w:szCs w:val="24"/>
        </w:rPr>
        <w:t>certain attachments to the past</w:t>
      </w:r>
      <w:r w:rsidRPr="009E3B7E">
        <w:rPr>
          <w:rFonts w:ascii="Times New Roman" w:hAnsi="Times New Roman" w:cs="Times New Roman"/>
          <w:sz w:val="24"/>
          <w:szCs w:val="24"/>
        </w:rPr>
        <w:t xml:space="preserve"> </w:t>
      </w:r>
      <w:r w:rsidR="00507033" w:rsidRPr="009E3B7E">
        <w:rPr>
          <w:rFonts w:ascii="Times New Roman" w:hAnsi="Times New Roman" w:cs="Times New Roman"/>
          <w:sz w:val="24"/>
          <w:szCs w:val="24"/>
        </w:rPr>
        <w:t>are</w:t>
      </w:r>
      <w:r w:rsidRPr="009E3B7E">
        <w:rPr>
          <w:rFonts w:ascii="Times New Roman" w:hAnsi="Times New Roman" w:cs="Times New Roman"/>
          <w:sz w:val="24"/>
          <w:szCs w:val="24"/>
        </w:rPr>
        <w:t xml:space="preserve"> simply imposed by hegemonic forces. As a heavily commoditized industry, heritage is closely tied to global tourism and the preservation of </w:t>
      </w:r>
      <w:r w:rsidR="00957170">
        <w:rPr>
          <w:rFonts w:ascii="Times New Roman" w:hAnsi="Times New Roman" w:cs="Times New Roman"/>
          <w:sz w:val="24"/>
          <w:szCs w:val="24"/>
        </w:rPr>
        <w:t>grand</w:t>
      </w:r>
      <w:r w:rsidRPr="009E3B7E">
        <w:rPr>
          <w:rFonts w:ascii="Times New Roman" w:hAnsi="Times New Roman" w:cs="Times New Roman"/>
          <w:sz w:val="24"/>
          <w:szCs w:val="24"/>
        </w:rPr>
        <w:t xml:space="preserve"> architectur</w:t>
      </w:r>
      <w:r w:rsidR="00957170">
        <w:rPr>
          <w:rFonts w:ascii="Times New Roman" w:hAnsi="Times New Roman" w:cs="Times New Roman"/>
          <w:sz w:val="24"/>
          <w:szCs w:val="24"/>
        </w:rPr>
        <w:t>al sites</w:t>
      </w:r>
      <w:r w:rsidRPr="009E3B7E">
        <w:rPr>
          <w:rFonts w:ascii="Times New Roman" w:hAnsi="Times New Roman" w:cs="Times New Roman"/>
          <w:sz w:val="24"/>
          <w:szCs w:val="24"/>
        </w:rPr>
        <w:t>, but it is also deeply personal and embodied, drawing together both collective and individual genetic, cultural, artistic and economic modes of inheritance.</w:t>
      </w:r>
      <w:r w:rsidR="005828B7" w:rsidRPr="009E3B7E">
        <w:rPr>
          <w:rFonts w:ascii="Times New Roman" w:hAnsi="Times New Roman" w:cs="Times New Roman"/>
          <w:sz w:val="24"/>
          <w:szCs w:val="24"/>
        </w:rPr>
        <w:t xml:space="preserve"> </w:t>
      </w:r>
    </w:p>
    <w:p w14:paraId="4B488F91" w14:textId="39B895C0" w:rsidR="005828B7" w:rsidRPr="009E3B7E" w:rsidRDefault="005828B7" w:rsidP="00E80EB4">
      <w:pPr>
        <w:spacing w:line="360" w:lineRule="auto"/>
        <w:rPr>
          <w:rFonts w:ascii="Times New Roman" w:hAnsi="Times New Roman" w:cs="Times New Roman"/>
          <w:sz w:val="24"/>
          <w:szCs w:val="24"/>
        </w:rPr>
      </w:pPr>
    </w:p>
    <w:p w14:paraId="6B81FEBD" w14:textId="0E59F3D0" w:rsidR="005828B7" w:rsidRPr="009E3B7E" w:rsidRDefault="005828B7" w:rsidP="005828B7">
      <w:pPr>
        <w:spacing w:line="360" w:lineRule="auto"/>
        <w:rPr>
          <w:rFonts w:ascii="Times New Roman" w:hAnsi="Times New Roman" w:cs="Times New Roman"/>
          <w:sz w:val="24"/>
          <w:szCs w:val="24"/>
        </w:rPr>
      </w:pPr>
      <w:r w:rsidRPr="009E3B7E">
        <w:rPr>
          <w:rFonts w:ascii="Times New Roman" w:hAnsi="Times New Roman" w:cs="Times New Roman"/>
          <w:sz w:val="24"/>
          <w:szCs w:val="24"/>
        </w:rPr>
        <w:t>Over the past two decades numerous strands of research have developed around the micropolitics of heritage as a practice and an industry. Much of this work has sought to ‘humanize’ the discipline, highlighting the social, emotional, affective and cultural factors shaping the management of the past over and above issues of physical preservation and conservation – an exploration of ‘why’ people preserve natural and cultural heritage, rather than ‘how’ they could do it more effectively. Such thinking has been hugely important in driving forwards emancipatory heritage projects that seek to radically subvert the values afforded to people, things, places and cultural practices when it comes to ‘saving the past, for the future’ (a key trope in heritage discourse).</w:t>
      </w:r>
      <w:r w:rsidR="00F31CFD">
        <w:rPr>
          <w:rStyle w:val="EndnoteReference"/>
          <w:rFonts w:ascii="Times New Roman" w:hAnsi="Times New Roman" w:cs="Times New Roman"/>
          <w:sz w:val="24"/>
          <w:szCs w:val="24"/>
        </w:rPr>
        <w:endnoteReference w:id="6"/>
      </w:r>
      <w:r w:rsidRPr="009E3B7E">
        <w:rPr>
          <w:rFonts w:ascii="Times New Roman" w:hAnsi="Times New Roman" w:cs="Times New Roman"/>
          <w:sz w:val="24"/>
          <w:szCs w:val="24"/>
        </w:rPr>
        <w:t xml:space="preserve"> </w:t>
      </w:r>
    </w:p>
    <w:p w14:paraId="751687C7" w14:textId="77777777" w:rsidR="005828B7" w:rsidRPr="009E3B7E" w:rsidRDefault="005828B7" w:rsidP="005828B7">
      <w:pPr>
        <w:spacing w:line="360" w:lineRule="auto"/>
        <w:rPr>
          <w:rFonts w:ascii="Times New Roman" w:hAnsi="Times New Roman" w:cs="Times New Roman"/>
          <w:sz w:val="24"/>
          <w:szCs w:val="24"/>
        </w:rPr>
      </w:pPr>
    </w:p>
    <w:p w14:paraId="6C6B956E" w14:textId="3CFE172F" w:rsidR="00E77B3D" w:rsidRPr="009E3B7E" w:rsidRDefault="005828B7" w:rsidP="00E77B3D">
      <w:pPr>
        <w:spacing w:line="360" w:lineRule="auto"/>
        <w:rPr>
          <w:rFonts w:ascii="Times New Roman" w:hAnsi="Times New Roman" w:cs="Times New Roman"/>
          <w:sz w:val="24"/>
          <w:szCs w:val="24"/>
        </w:rPr>
      </w:pPr>
      <w:r w:rsidRPr="009E3B7E">
        <w:rPr>
          <w:rFonts w:ascii="Times New Roman" w:hAnsi="Times New Roman" w:cs="Times New Roman"/>
          <w:sz w:val="24"/>
          <w:szCs w:val="24"/>
        </w:rPr>
        <w:t xml:space="preserve">Without denying the impact of this critical agenda, </w:t>
      </w:r>
      <w:r w:rsidR="004171FF" w:rsidRPr="009E3B7E">
        <w:rPr>
          <w:rFonts w:ascii="Times New Roman" w:hAnsi="Times New Roman" w:cs="Times New Roman"/>
          <w:sz w:val="24"/>
          <w:szCs w:val="24"/>
        </w:rPr>
        <w:t xml:space="preserve">we advocate for an alternative – or perhaps complementary – model of heritage that foregrounds different processes of ‘taking on’ and ‘passing down’ across human and non-human worlds. </w:t>
      </w:r>
      <w:r w:rsidRPr="009E3B7E">
        <w:rPr>
          <w:rFonts w:ascii="Times New Roman" w:hAnsi="Times New Roman" w:cs="Times New Roman"/>
          <w:sz w:val="24"/>
          <w:szCs w:val="24"/>
        </w:rPr>
        <w:t>Through this approach we aim to engage with the ways in which heritage and conservation practice</w:t>
      </w:r>
      <w:r w:rsidR="00085BF2" w:rsidRPr="009E3B7E">
        <w:rPr>
          <w:rFonts w:ascii="Times New Roman" w:hAnsi="Times New Roman" w:cs="Times New Roman"/>
          <w:sz w:val="24"/>
          <w:szCs w:val="24"/>
        </w:rPr>
        <w:t xml:space="preserve">s, broadly understood, </w:t>
      </w:r>
      <w:r w:rsidRPr="009E3B7E">
        <w:rPr>
          <w:rFonts w:ascii="Times New Roman" w:hAnsi="Times New Roman" w:cs="Times New Roman"/>
          <w:sz w:val="24"/>
          <w:szCs w:val="24"/>
        </w:rPr>
        <w:lastRenderedPageBreak/>
        <w:t>actively resource the construction of future world</w:t>
      </w:r>
      <w:r w:rsidR="006E61B0">
        <w:rPr>
          <w:rFonts w:ascii="Times New Roman" w:hAnsi="Times New Roman" w:cs="Times New Roman"/>
          <w:sz w:val="24"/>
          <w:szCs w:val="24"/>
        </w:rPr>
        <w:t>s</w:t>
      </w:r>
      <w:r w:rsidRPr="009E3B7E">
        <w:rPr>
          <w:rFonts w:ascii="Times New Roman" w:hAnsi="Times New Roman" w:cs="Times New Roman"/>
          <w:sz w:val="24"/>
          <w:szCs w:val="24"/>
        </w:rPr>
        <w:t>.</w:t>
      </w:r>
      <w:r w:rsidR="004F383A">
        <w:rPr>
          <w:rStyle w:val="EndnoteReference"/>
          <w:rFonts w:ascii="Times New Roman" w:hAnsi="Times New Roman" w:cs="Times New Roman"/>
          <w:sz w:val="24"/>
          <w:szCs w:val="24"/>
        </w:rPr>
        <w:endnoteReference w:id="7"/>
      </w:r>
      <w:r w:rsidRPr="009E3B7E">
        <w:rPr>
          <w:rFonts w:ascii="Times New Roman" w:hAnsi="Times New Roman" w:cs="Times New Roman"/>
          <w:sz w:val="24"/>
          <w:szCs w:val="24"/>
        </w:rPr>
        <w:t xml:space="preserve"> This reorientation asks us to rethink contradictory approaches found in natural and cultural heritage management, such as the celebration of existence value in biodiversity conservation and the prioritization of social value in the protection of cultural artifacts</w:t>
      </w:r>
      <w:r w:rsidR="00D35B61">
        <w:rPr>
          <w:rFonts w:ascii="Times New Roman" w:hAnsi="Times New Roman" w:cs="Times New Roman"/>
          <w:sz w:val="24"/>
          <w:szCs w:val="24"/>
        </w:rPr>
        <w:t xml:space="preserve">. </w:t>
      </w:r>
      <w:r w:rsidR="00085BF2" w:rsidRPr="009E3B7E">
        <w:rPr>
          <w:rFonts w:ascii="Times New Roman" w:hAnsi="Times New Roman" w:cs="Times New Roman"/>
          <w:sz w:val="24"/>
          <w:szCs w:val="24"/>
        </w:rPr>
        <w:t>The Anthropocene is both a prompt for this reconceptualization and a focal point for assessing the implications of an expanded heritage field</w:t>
      </w:r>
      <w:r w:rsidR="00D35B61">
        <w:rPr>
          <w:rFonts w:ascii="Times New Roman" w:hAnsi="Times New Roman" w:cs="Times New Roman"/>
          <w:sz w:val="24"/>
          <w:szCs w:val="24"/>
        </w:rPr>
        <w:t>.</w:t>
      </w:r>
      <w:r w:rsidR="00D35B61">
        <w:rPr>
          <w:rStyle w:val="EndnoteReference"/>
          <w:rFonts w:ascii="Times New Roman" w:hAnsi="Times New Roman" w:cs="Times New Roman"/>
          <w:sz w:val="24"/>
          <w:szCs w:val="24"/>
        </w:rPr>
        <w:endnoteReference w:id="8"/>
      </w:r>
      <w:r w:rsidR="00D35B61">
        <w:rPr>
          <w:rFonts w:ascii="Times New Roman" w:hAnsi="Times New Roman" w:cs="Times New Roman"/>
          <w:sz w:val="24"/>
          <w:szCs w:val="24"/>
        </w:rPr>
        <w:t xml:space="preserve"> </w:t>
      </w:r>
      <w:r w:rsidR="00E77B3D" w:rsidRPr="009E3B7E">
        <w:rPr>
          <w:rFonts w:ascii="Times New Roman" w:hAnsi="Times New Roman" w:cs="Times New Roman"/>
          <w:sz w:val="24"/>
          <w:szCs w:val="24"/>
        </w:rPr>
        <w:t xml:space="preserve">In contrast with earlier work in critical heritage, much of this thinking departs from the premise that heritage should not be reduced to a human construct, looking instead to processes of care, inheritance, sustainability and connectivity </w:t>
      </w:r>
      <w:r w:rsidR="00E77B3D" w:rsidRPr="009E3B7E">
        <w:rPr>
          <w:rFonts w:ascii="Times New Roman" w:hAnsi="Times New Roman" w:cs="Times New Roman"/>
          <w:i/>
          <w:sz w:val="24"/>
          <w:szCs w:val="24"/>
        </w:rPr>
        <w:t>in excess of the human</w:t>
      </w:r>
      <w:r w:rsidR="00E77B3D" w:rsidRPr="009E3B7E">
        <w:rPr>
          <w:rFonts w:ascii="Times New Roman" w:hAnsi="Times New Roman" w:cs="Times New Roman"/>
          <w:sz w:val="24"/>
          <w:szCs w:val="24"/>
        </w:rPr>
        <w:t xml:space="preserve">, as a way of thinking through the entangled and dialogical nature of all heritage processes. This is no simple task, but we might find an opening or fissure in the call to reimagine heritage in the wake of the </w:t>
      </w:r>
      <w:proofErr w:type="spellStart"/>
      <w:r w:rsidR="00E77B3D" w:rsidRPr="009E3B7E">
        <w:rPr>
          <w:rFonts w:ascii="Times New Roman" w:hAnsi="Times New Roman" w:cs="Times New Roman"/>
          <w:sz w:val="24"/>
          <w:szCs w:val="24"/>
        </w:rPr>
        <w:t>posthumanities</w:t>
      </w:r>
      <w:proofErr w:type="spellEnd"/>
      <w:r w:rsidR="00E77B3D" w:rsidRPr="009E3B7E">
        <w:rPr>
          <w:rFonts w:ascii="Times New Roman" w:hAnsi="Times New Roman" w:cs="Times New Roman"/>
          <w:sz w:val="24"/>
          <w:szCs w:val="24"/>
        </w:rPr>
        <w:t>, which aims to dislodge anthropocentric concepts of memory, transmission, precarity and affect, all of which are central to the emergence and ongoing work of heritage across various domains.</w:t>
      </w:r>
      <w:r w:rsidR="00CE468D">
        <w:rPr>
          <w:rStyle w:val="EndnoteReference"/>
          <w:rFonts w:ascii="Times New Roman" w:hAnsi="Times New Roman" w:cs="Times New Roman"/>
          <w:sz w:val="24"/>
          <w:szCs w:val="24"/>
        </w:rPr>
        <w:endnoteReference w:id="9"/>
      </w:r>
    </w:p>
    <w:p w14:paraId="3B1615B0" w14:textId="712220D5" w:rsidR="00254499" w:rsidRPr="009E3B7E" w:rsidRDefault="00254499" w:rsidP="00E77B3D">
      <w:pPr>
        <w:spacing w:line="360" w:lineRule="auto"/>
        <w:rPr>
          <w:rFonts w:ascii="Times New Roman" w:hAnsi="Times New Roman" w:cs="Times New Roman"/>
          <w:sz w:val="24"/>
          <w:szCs w:val="24"/>
        </w:rPr>
      </w:pPr>
    </w:p>
    <w:p w14:paraId="455271F5" w14:textId="1EFEEFD7" w:rsidR="00E57B77" w:rsidRPr="009E3B7E" w:rsidRDefault="00E57B77" w:rsidP="00E77B3D">
      <w:pPr>
        <w:spacing w:line="360" w:lineRule="auto"/>
        <w:rPr>
          <w:rFonts w:ascii="Times New Roman" w:hAnsi="Times New Roman" w:cs="Times New Roman"/>
          <w:sz w:val="24"/>
          <w:szCs w:val="24"/>
        </w:rPr>
      </w:pPr>
      <w:r w:rsidRPr="009E3B7E">
        <w:rPr>
          <w:rFonts w:ascii="Times New Roman" w:hAnsi="Times New Roman" w:cs="Times New Roman"/>
          <w:sz w:val="24"/>
          <w:szCs w:val="24"/>
        </w:rPr>
        <w:t xml:space="preserve">This approach aligns with and builds on the emergence of what we might call the new inheritance paradigm. Across science, philosophy, culture and the arts the question of inheritance has been posed anew in various disciplinary contexts, from environmental criticism to biogenetics. There are many branches to this reconceptualization, but a central thread can be located in the erosion of boundaries between human and nonhuman, between subject and object, and between ‘natural’ systems and ‘cultural’ formations. As </w:t>
      </w:r>
      <w:r w:rsidR="000F0026" w:rsidRPr="009E3B7E">
        <w:rPr>
          <w:rFonts w:ascii="Times New Roman" w:hAnsi="Times New Roman" w:cs="Times New Roman"/>
          <w:sz w:val="24"/>
          <w:szCs w:val="24"/>
        </w:rPr>
        <w:t xml:space="preserve">Donna </w:t>
      </w:r>
      <w:r w:rsidRPr="009E3B7E">
        <w:rPr>
          <w:rFonts w:ascii="Times New Roman" w:hAnsi="Times New Roman" w:cs="Times New Roman"/>
          <w:sz w:val="24"/>
          <w:szCs w:val="24"/>
        </w:rPr>
        <w:t>Haraway notes, the whole question of nature/culture is about “the dilemma of inheritance, of what we have inherited, in our flesh</w:t>
      </w:r>
      <w:r w:rsidR="00260EF8">
        <w:rPr>
          <w:rFonts w:ascii="Times New Roman" w:hAnsi="Times New Roman" w:cs="Times New Roman"/>
          <w:sz w:val="24"/>
          <w:szCs w:val="24"/>
        </w:rPr>
        <w:t>.</w:t>
      </w:r>
      <w:r w:rsidRPr="009E3B7E">
        <w:rPr>
          <w:rFonts w:ascii="Times New Roman" w:hAnsi="Times New Roman" w:cs="Times New Roman"/>
          <w:sz w:val="24"/>
          <w:szCs w:val="24"/>
        </w:rPr>
        <w:t>”</w:t>
      </w:r>
      <w:r w:rsidR="00260EF8">
        <w:rPr>
          <w:rStyle w:val="EndnoteReference"/>
          <w:rFonts w:ascii="Times New Roman" w:hAnsi="Times New Roman" w:cs="Times New Roman"/>
          <w:sz w:val="24"/>
          <w:szCs w:val="24"/>
        </w:rPr>
        <w:endnoteReference w:id="10"/>
      </w:r>
      <w:r w:rsidRPr="009E3B7E">
        <w:rPr>
          <w:rFonts w:ascii="Times New Roman" w:hAnsi="Times New Roman" w:cs="Times New Roman"/>
          <w:sz w:val="24"/>
          <w:szCs w:val="24"/>
        </w:rPr>
        <w:t xml:space="preserve"> This ‘we’ extends beyond the human to consider the diffuse material, chemical and biological residues ‘taken on’ and ‘passed down’ across social and ecological worlds. At the same time, our current ecological predicament might be usefully understood as a crisis of inheritance, where specific socio-cultural processes have pushed biological and planetary systems to the brink of </w:t>
      </w:r>
      <w:r w:rsidRPr="009E3B7E">
        <w:rPr>
          <w:rFonts w:ascii="Times New Roman" w:hAnsi="Times New Roman" w:cs="Times New Roman"/>
          <w:sz w:val="24"/>
          <w:szCs w:val="24"/>
          <w:lang w:val="en-US"/>
        </w:rPr>
        <w:t>catastrophe.</w:t>
      </w:r>
      <w:r w:rsidR="00260EF8">
        <w:rPr>
          <w:rStyle w:val="EndnoteReference"/>
          <w:rFonts w:ascii="Times New Roman" w:hAnsi="Times New Roman" w:cs="Times New Roman"/>
          <w:sz w:val="24"/>
          <w:szCs w:val="24"/>
          <w:lang w:val="en-US"/>
        </w:rPr>
        <w:endnoteReference w:id="11"/>
      </w:r>
      <w:r w:rsidRPr="009E3B7E">
        <w:rPr>
          <w:rFonts w:ascii="Times New Roman" w:hAnsi="Times New Roman" w:cs="Times New Roman"/>
          <w:sz w:val="24"/>
          <w:szCs w:val="24"/>
          <w:lang w:val="en-US"/>
        </w:rPr>
        <w:t xml:space="preserve"> </w:t>
      </w:r>
      <w:r w:rsidRPr="009E3B7E">
        <w:rPr>
          <w:rFonts w:ascii="Times New Roman" w:hAnsi="Times New Roman" w:cs="Times New Roman"/>
          <w:sz w:val="24"/>
          <w:szCs w:val="24"/>
        </w:rPr>
        <w:t>In many ways the complexities of the Anthropocene and climate change circle back to this central problem: how to account for and ultimately redirect the entangled inheritances of capital and toxins, of fossil fuels and marginalized groups, of political ideologies and nonhuman bodies.</w:t>
      </w:r>
      <w:r w:rsidR="00835F70" w:rsidRPr="009E3B7E">
        <w:rPr>
          <w:rFonts w:ascii="Times New Roman" w:hAnsi="Times New Roman" w:cs="Times New Roman"/>
          <w:sz w:val="24"/>
          <w:szCs w:val="24"/>
        </w:rPr>
        <w:t xml:space="preserve"> The new inheritance paradigm emerges from and documents such entanglements in a multitude of ways</w:t>
      </w:r>
      <w:r w:rsidR="002B6120" w:rsidRPr="009E3B7E">
        <w:rPr>
          <w:rFonts w:ascii="Times New Roman" w:hAnsi="Times New Roman" w:cs="Times New Roman"/>
          <w:sz w:val="24"/>
          <w:szCs w:val="24"/>
        </w:rPr>
        <w:t xml:space="preserve">, gesturing towards new pathways for critical research and practice at the intersections of heritage and the environmental humanities. </w:t>
      </w:r>
    </w:p>
    <w:p w14:paraId="161F6D25" w14:textId="77777777" w:rsidR="00835F70" w:rsidRPr="009E3B7E" w:rsidRDefault="00835F70" w:rsidP="00E77B3D">
      <w:pPr>
        <w:spacing w:line="360" w:lineRule="auto"/>
        <w:rPr>
          <w:rFonts w:ascii="Times New Roman" w:hAnsi="Times New Roman" w:cs="Times New Roman"/>
          <w:sz w:val="24"/>
          <w:szCs w:val="24"/>
        </w:rPr>
      </w:pPr>
    </w:p>
    <w:p w14:paraId="08B1E0B2" w14:textId="69872847" w:rsidR="00E80EB4" w:rsidRPr="009E3B7E" w:rsidRDefault="00560655" w:rsidP="00E80EB4">
      <w:pPr>
        <w:spacing w:line="360" w:lineRule="auto"/>
        <w:rPr>
          <w:rFonts w:ascii="Times New Roman" w:hAnsi="Times New Roman" w:cs="Times New Roman"/>
          <w:sz w:val="24"/>
          <w:szCs w:val="24"/>
        </w:rPr>
      </w:pPr>
      <w:r w:rsidRPr="009E3B7E">
        <w:rPr>
          <w:rFonts w:ascii="Times New Roman" w:hAnsi="Times New Roman" w:cs="Times New Roman"/>
          <w:sz w:val="24"/>
          <w:szCs w:val="24"/>
        </w:rPr>
        <w:lastRenderedPageBreak/>
        <w:t>No longer to be seen primarily as a set of places or things to be ‘saved’ in the present, for the future</w:t>
      </w:r>
      <w:r w:rsidR="00260EF8">
        <w:rPr>
          <w:rFonts w:ascii="Times New Roman" w:hAnsi="Times New Roman" w:cs="Times New Roman"/>
          <w:sz w:val="24"/>
          <w:szCs w:val="24"/>
        </w:rPr>
        <w:t xml:space="preserve">, </w:t>
      </w:r>
      <w:r w:rsidRPr="009E3B7E">
        <w:rPr>
          <w:rFonts w:ascii="Times New Roman" w:hAnsi="Times New Roman" w:cs="Times New Roman"/>
          <w:sz w:val="24"/>
          <w:szCs w:val="24"/>
        </w:rPr>
        <w:t>heritage as we understand it is an intersubjective and inherently transdisciplinary space where ongoing concerns over climate breakdown, environmental justice, more-than-human legacies and alternative modes of care and stewardship might be worked through by different actors in different ways.</w:t>
      </w:r>
      <w:r w:rsidR="00260EF8">
        <w:rPr>
          <w:rStyle w:val="EndnoteReference"/>
          <w:rFonts w:ascii="Times New Roman" w:hAnsi="Times New Roman" w:cs="Times New Roman"/>
          <w:sz w:val="24"/>
          <w:szCs w:val="24"/>
        </w:rPr>
        <w:endnoteReference w:id="12"/>
      </w:r>
      <w:r w:rsidRPr="009E3B7E">
        <w:rPr>
          <w:rFonts w:ascii="Times New Roman" w:hAnsi="Times New Roman" w:cs="Times New Roman"/>
          <w:sz w:val="24"/>
          <w:szCs w:val="24"/>
        </w:rPr>
        <w:t xml:space="preserve"> In this sense critical heritage studies poses a valuable set of questions that correspond with the geopolitics of the Anthropocene and emerging concepts of </w:t>
      </w:r>
      <w:r w:rsidR="00F31CFD">
        <w:rPr>
          <w:rFonts w:ascii="Times New Roman" w:hAnsi="Times New Roman" w:cs="Times New Roman"/>
          <w:sz w:val="24"/>
          <w:szCs w:val="24"/>
        </w:rPr>
        <w:t>“</w:t>
      </w:r>
      <w:r w:rsidRPr="009E3B7E">
        <w:rPr>
          <w:rFonts w:ascii="Times New Roman" w:hAnsi="Times New Roman" w:cs="Times New Roman"/>
          <w:sz w:val="24"/>
          <w:szCs w:val="24"/>
        </w:rPr>
        <w:t>ecological inheritance</w:t>
      </w:r>
      <w:r w:rsidR="00F31CFD">
        <w:rPr>
          <w:rFonts w:ascii="Times New Roman" w:hAnsi="Times New Roman" w:cs="Times New Roman"/>
          <w:sz w:val="24"/>
          <w:szCs w:val="24"/>
        </w:rPr>
        <w:t>.”</w:t>
      </w:r>
      <w:r w:rsidR="00F31CFD">
        <w:rPr>
          <w:rStyle w:val="EndnoteReference"/>
          <w:rFonts w:ascii="Times New Roman" w:hAnsi="Times New Roman" w:cs="Times New Roman"/>
          <w:sz w:val="24"/>
          <w:szCs w:val="24"/>
        </w:rPr>
        <w:endnoteReference w:id="13"/>
      </w:r>
      <w:r w:rsidR="0076576D">
        <w:rPr>
          <w:rFonts w:ascii="Times New Roman" w:hAnsi="Times New Roman" w:cs="Times New Roman"/>
          <w:sz w:val="24"/>
          <w:szCs w:val="24"/>
        </w:rPr>
        <w:t xml:space="preserve"> </w:t>
      </w:r>
      <w:r w:rsidR="00D84CD2" w:rsidRPr="009E3B7E">
        <w:rPr>
          <w:rFonts w:ascii="Times New Roman" w:hAnsi="Times New Roman" w:cs="Times New Roman"/>
          <w:sz w:val="24"/>
          <w:szCs w:val="24"/>
        </w:rPr>
        <w:t xml:space="preserve">What are the concepts, practices and methods that will enable heritage to be ‘worked’ differently in the context of the Anthropocene? To what extent might </w:t>
      </w:r>
      <w:r w:rsidR="00D84CD2" w:rsidRPr="009E3B7E">
        <w:rPr>
          <w:rFonts w:ascii="Times New Roman" w:hAnsi="Times New Roman" w:cs="Times New Roman"/>
          <w:i/>
          <w:sz w:val="24"/>
          <w:szCs w:val="24"/>
        </w:rPr>
        <w:t>doing</w:t>
      </w:r>
      <w:r w:rsidR="00D84CD2" w:rsidRPr="009E3B7E">
        <w:rPr>
          <w:rFonts w:ascii="Times New Roman" w:hAnsi="Times New Roman" w:cs="Times New Roman"/>
          <w:sz w:val="24"/>
          <w:szCs w:val="24"/>
        </w:rPr>
        <w:t xml:space="preserve"> and </w:t>
      </w:r>
      <w:r w:rsidR="00D84CD2" w:rsidRPr="009E3B7E">
        <w:rPr>
          <w:rFonts w:ascii="Times New Roman" w:hAnsi="Times New Roman" w:cs="Times New Roman"/>
          <w:i/>
          <w:sz w:val="24"/>
          <w:szCs w:val="24"/>
        </w:rPr>
        <w:t>thinking</w:t>
      </w:r>
      <w:r w:rsidR="00D84CD2" w:rsidRPr="009E3B7E">
        <w:rPr>
          <w:rFonts w:ascii="Times New Roman" w:hAnsi="Times New Roman" w:cs="Times New Roman"/>
          <w:sz w:val="24"/>
          <w:szCs w:val="24"/>
        </w:rPr>
        <w:t xml:space="preserve"> heritage in new ways help us to engage with the systemic foundations and (potentially) dire consequences of this new geo-philosophical reality? What pasts should be prioritized in this new framework, and what futures might we open up by reconceptualizing heritage?</w:t>
      </w:r>
      <w:r w:rsidR="00D84CD2">
        <w:rPr>
          <w:rFonts w:ascii="Times New Roman" w:hAnsi="Times New Roman" w:cs="Times New Roman"/>
          <w:sz w:val="24"/>
          <w:szCs w:val="24"/>
        </w:rPr>
        <w:t xml:space="preserve"> </w:t>
      </w:r>
      <w:r w:rsidR="000457B5">
        <w:rPr>
          <w:rFonts w:ascii="Times New Roman" w:hAnsi="Times New Roman" w:cs="Times New Roman"/>
          <w:sz w:val="24"/>
          <w:szCs w:val="24"/>
        </w:rPr>
        <w:t>H</w:t>
      </w:r>
      <w:r w:rsidRPr="009E3B7E">
        <w:rPr>
          <w:rFonts w:ascii="Times New Roman" w:hAnsi="Times New Roman" w:cs="Times New Roman"/>
          <w:sz w:val="24"/>
          <w:szCs w:val="24"/>
        </w:rPr>
        <w:t>istorical inequities and present injustices that shadow both heritage and the Anthropocene as universalizing concepts are brought to the surface through such questions, which provide an important foundation for further transdisciplinary inquiry across these fields.</w:t>
      </w:r>
    </w:p>
    <w:p w14:paraId="53E9B8AB" w14:textId="77777777" w:rsidR="0076576D" w:rsidRPr="009E3B7E" w:rsidRDefault="0076576D" w:rsidP="00E80EB4">
      <w:pPr>
        <w:spacing w:line="360" w:lineRule="auto"/>
        <w:rPr>
          <w:rFonts w:ascii="Times New Roman" w:hAnsi="Times New Roman" w:cs="Times New Roman"/>
          <w:sz w:val="24"/>
          <w:szCs w:val="24"/>
        </w:rPr>
      </w:pPr>
    </w:p>
    <w:p w14:paraId="7E82F1FB" w14:textId="1FDBB4C3" w:rsidR="0088043F" w:rsidRPr="009E3B7E" w:rsidRDefault="00DB3FAC" w:rsidP="00E80EB4">
      <w:pPr>
        <w:spacing w:line="360" w:lineRule="auto"/>
        <w:rPr>
          <w:rFonts w:ascii="Times New Roman" w:hAnsi="Times New Roman" w:cs="Times New Roman"/>
          <w:sz w:val="24"/>
          <w:szCs w:val="24"/>
        </w:rPr>
      </w:pPr>
      <w:bookmarkStart w:id="0" w:name="_468lrh6jy2y5" w:colFirst="0" w:colLast="0"/>
      <w:bookmarkEnd w:id="0"/>
      <w:r w:rsidRPr="009E3B7E">
        <w:rPr>
          <w:rFonts w:ascii="Times New Roman" w:hAnsi="Times New Roman" w:cs="Times New Roman"/>
          <w:sz w:val="24"/>
          <w:szCs w:val="24"/>
        </w:rPr>
        <w:t>To begin to map out these intersections</w:t>
      </w:r>
      <w:r w:rsidR="00B14171" w:rsidRPr="009E3B7E">
        <w:rPr>
          <w:rFonts w:ascii="Times New Roman" w:hAnsi="Times New Roman" w:cs="Times New Roman"/>
          <w:sz w:val="24"/>
          <w:szCs w:val="24"/>
        </w:rPr>
        <w:t xml:space="preserve"> we need to consider heritage as object, as process, as method and as field of praxis. </w:t>
      </w:r>
      <w:r w:rsidRPr="009E3B7E">
        <w:rPr>
          <w:rFonts w:ascii="Times New Roman" w:hAnsi="Times New Roman" w:cs="Times New Roman"/>
          <w:sz w:val="24"/>
          <w:szCs w:val="24"/>
        </w:rPr>
        <w:t xml:space="preserve">These vantage points offer different ways of thinking </w:t>
      </w:r>
      <w:r w:rsidR="00B14171" w:rsidRPr="009E3B7E">
        <w:rPr>
          <w:rFonts w:ascii="Times New Roman" w:hAnsi="Times New Roman" w:cs="Times New Roman"/>
          <w:sz w:val="24"/>
          <w:szCs w:val="24"/>
        </w:rPr>
        <w:t xml:space="preserve">through the critical dimensions of heritage and inheritance in, of and after the Anthropocene. </w:t>
      </w:r>
      <w:r w:rsidR="009F3438" w:rsidRPr="009E3B7E">
        <w:rPr>
          <w:rFonts w:ascii="Times New Roman" w:hAnsi="Times New Roman" w:cs="Times New Roman"/>
          <w:sz w:val="24"/>
          <w:szCs w:val="24"/>
        </w:rPr>
        <w:t xml:space="preserve">Roy Scranton’s slight but engaging book </w:t>
      </w:r>
      <w:r w:rsidR="009F3438" w:rsidRPr="009E3B7E">
        <w:rPr>
          <w:rFonts w:ascii="Times New Roman" w:hAnsi="Times New Roman" w:cs="Times New Roman"/>
          <w:i/>
          <w:sz w:val="24"/>
          <w:szCs w:val="24"/>
        </w:rPr>
        <w:t>Learning to Die in the Anthropocene</w:t>
      </w:r>
      <w:r w:rsidR="009F3438" w:rsidRPr="009E3B7E">
        <w:rPr>
          <w:rFonts w:ascii="Times New Roman" w:hAnsi="Times New Roman" w:cs="Times New Roman"/>
          <w:sz w:val="24"/>
          <w:szCs w:val="24"/>
        </w:rPr>
        <w:t xml:space="preserve"> offers one way of thinking about heritage within this new geological framework. For Scranton the climactic changes wrought by humanity signal the demise of global capitalist civilization: “The sooner we confront this situation,” he argues, “the sooner we can get down to the difficult task of adapting, with mortal humility, to our new reality</w:t>
      </w:r>
      <w:r w:rsidR="0076576D">
        <w:rPr>
          <w:rFonts w:ascii="Times New Roman" w:hAnsi="Times New Roman" w:cs="Times New Roman"/>
          <w:sz w:val="24"/>
          <w:szCs w:val="24"/>
        </w:rPr>
        <w:t>.</w:t>
      </w:r>
      <w:r w:rsidR="009F3438" w:rsidRPr="009E3B7E">
        <w:rPr>
          <w:rFonts w:ascii="Times New Roman" w:hAnsi="Times New Roman" w:cs="Times New Roman"/>
          <w:sz w:val="24"/>
          <w:szCs w:val="24"/>
        </w:rPr>
        <w:t>”</w:t>
      </w:r>
      <w:r w:rsidR="0076576D">
        <w:rPr>
          <w:rStyle w:val="EndnoteReference"/>
          <w:rFonts w:ascii="Times New Roman" w:hAnsi="Times New Roman" w:cs="Times New Roman"/>
          <w:sz w:val="24"/>
          <w:szCs w:val="24"/>
        </w:rPr>
        <w:endnoteReference w:id="14"/>
      </w:r>
      <w:r w:rsidR="009F3438" w:rsidRPr="009E3B7E">
        <w:rPr>
          <w:rFonts w:ascii="Times New Roman" w:hAnsi="Times New Roman" w:cs="Times New Roman"/>
          <w:sz w:val="24"/>
          <w:szCs w:val="24"/>
        </w:rPr>
        <w:t xml:space="preserve"> Tellingly, Scranton identifies the “variety and richness of our collective cultural heritage” as one of the key facets of this new humility</w:t>
      </w:r>
      <w:r w:rsidR="0076576D">
        <w:rPr>
          <w:rFonts w:ascii="Times New Roman" w:hAnsi="Times New Roman" w:cs="Times New Roman"/>
          <w:sz w:val="24"/>
          <w:szCs w:val="24"/>
        </w:rPr>
        <w:t>.</w:t>
      </w:r>
      <w:r w:rsidR="0076576D">
        <w:rPr>
          <w:rStyle w:val="EndnoteReference"/>
          <w:rFonts w:ascii="Times New Roman" w:hAnsi="Times New Roman" w:cs="Times New Roman"/>
          <w:sz w:val="24"/>
          <w:szCs w:val="24"/>
        </w:rPr>
        <w:endnoteReference w:id="15"/>
      </w:r>
      <w:r w:rsidR="009F3438" w:rsidRPr="009E3B7E">
        <w:rPr>
          <w:rFonts w:ascii="Times New Roman" w:hAnsi="Times New Roman" w:cs="Times New Roman"/>
          <w:sz w:val="24"/>
          <w:szCs w:val="24"/>
        </w:rPr>
        <w:t xml:space="preserve"> This leads to a familiar assertion made in the face of the apocalypse: build arks. These would not just be biological but cultural, carrying forward genetic data and ‘endangered wisdom’ alike: “The library of human cultural technologies that is our archive, the concrete record of human thought in all languages that comprise the entirety of our existence as human beings, is not only the seed stock of our future intellectual growth, but its soil, its source, its womb</w:t>
      </w:r>
      <w:r w:rsidR="0076576D">
        <w:rPr>
          <w:rFonts w:ascii="Times New Roman" w:hAnsi="Times New Roman" w:cs="Times New Roman"/>
          <w:sz w:val="24"/>
          <w:szCs w:val="24"/>
        </w:rPr>
        <w:t>.</w:t>
      </w:r>
      <w:r w:rsidR="009F3438" w:rsidRPr="009E3B7E">
        <w:rPr>
          <w:rFonts w:ascii="Times New Roman" w:hAnsi="Times New Roman" w:cs="Times New Roman"/>
          <w:sz w:val="24"/>
          <w:szCs w:val="24"/>
        </w:rPr>
        <w:t>”</w:t>
      </w:r>
      <w:r w:rsidR="0076576D">
        <w:rPr>
          <w:rStyle w:val="EndnoteReference"/>
          <w:rFonts w:ascii="Times New Roman" w:hAnsi="Times New Roman" w:cs="Times New Roman"/>
          <w:sz w:val="24"/>
          <w:szCs w:val="24"/>
        </w:rPr>
        <w:endnoteReference w:id="16"/>
      </w:r>
      <w:r w:rsidR="009F3438" w:rsidRPr="009E3B7E">
        <w:rPr>
          <w:rFonts w:ascii="Times New Roman" w:hAnsi="Times New Roman" w:cs="Times New Roman"/>
          <w:sz w:val="24"/>
          <w:szCs w:val="24"/>
        </w:rPr>
        <w:t xml:space="preserve"> </w:t>
      </w:r>
    </w:p>
    <w:p w14:paraId="38F60CAC" w14:textId="77777777" w:rsidR="00E80EB4" w:rsidRPr="009E3B7E" w:rsidRDefault="00E80EB4" w:rsidP="00E80EB4">
      <w:pPr>
        <w:spacing w:line="360" w:lineRule="auto"/>
        <w:rPr>
          <w:rFonts w:ascii="Times New Roman" w:hAnsi="Times New Roman" w:cs="Times New Roman"/>
          <w:sz w:val="24"/>
          <w:szCs w:val="24"/>
        </w:rPr>
      </w:pPr>
    </w:p>
    <w:p w14:paraId="7E82F1FC" w14:textId="7A45CC11" w:rsidR="0088043F" w:rsidRPr="009E3B7E" w:rsidRDefault="009F3438" w:rsidP="00E80EB4">
      <w:pPr>
        <w:spacing w:line="360" w:lineRule="auto"/>
        <w:rPr>
          <w:rFonts w:ascii="Times New Roman" w:hAnsi="Times New Roman" w:cs="Times New Roman"/>
          <w:sz w:val="24"/>
          <w:szCs w:val="24"/>
        </w:rPr>
      </w:pPr>
      <w:r w:rsidRPr="009E3B7E">
        <w:rPr>
          <w:rFonts w:ascii="Times New Roman" w:hAnsi="Times New Roman" w:cs="Times New Roman"/>
          <w:sz w:val="24"/>
          <w:szCs w:val="24"/>
        </w:rPr>
        <w:t xml:space="preserve">Such projects are already underway. </w:t>
      </w:r>
      <w:r w:rsidRPr="009E3B7E">
        <w:rPr>
          <w:rFonts w:ascii="Times New Roman" w:hAnsi="Times New Roman" w:cs="Times New Roman"/>
          <w:i/>
          <w:iCs/>
          <w:sz w:val="24"/>
          <w:szCs w:val="24"/>
        </w:rPr>
        <w:t>The Memory of Mankind</w:t>
      </w:r>
      <w:r w:rsidR="00F66902" w:rsidRPr="009E3B7E">
        <w:rPr>
          <w:rFonts w:ascii="Times New Roman" w:hAnsi="Times New Roman" w:cs="Times New Roman"/>
          <w:sz w:val="24"/>
          <w:szCs w:val="24"/>
        </w:rPr>
        <w:t xml:space="preserve"> </w:t>
      </w:r>
      <w:r w:rsidR="00DB3FAC" w:rsidRPr="009E3B7E">
        <w:rPr>
          <w:rFonts w:ascii="Times New Roman" w:hAnsi="Times New Roman" w:cs="Times New Roman"/>
          <w:sz w:val="24"/>
          <w:szCs w:val="24"/>
        </w:rPr>
        <w:t xml:space="preserve">initiative </w:t>
      </w:r>
      <w:r w:rsidRPr="009E3B7E">
        <w:rPr>
          <w:rFonts w:ascii="Times New Roman" w:hAnsi="Times New Roman" w:cs="Times New Roman"/>
          <w:sz w:val="24"/>
          <w:szCs w:val="24"/>
        </w:rPr>
        <w:t xml:space="preserve">for example aims to store millions of ceramic tablets recording human life in all its banality and diversity deep </w:t>
      </w:r>
      <w:r w:rsidRPr="009E3B7E">
        <w:rPr>
          <w:rFonts w:ascii="Times New Roman" w:hAnsi="Times New Roman" w:cs="Times New Roman"/>
          <w:sz w:val="24"/>
          <w:szCs w:val="24"/>
        </w:rPr>
        <w:lastRenderedPageBreak/>
        <w:t xml:space="preserve">underground in the mountains of Austria. </w:t>
      </w:r>
      <w:r w:rsidRPr="009E3B7E">
        <w:rPr>
          <w:rFonts w:ascii="Times New Roman" w:hAnsi="Times New Roman" w:cs="Times New Roman"/>
          <w:i/>
          <w:iCs/>
          <w:sz w:val="24"/>
          <w:szCs w:val="24"/>
        </w:rPr>
        <w:t>The Arch Mission</w:t>
      </w:r>
      <w:r w:rsidR="00F66902" w:rsidRPr="009E3B7E">
        <w:rPr>
          <w:rFonts w:ascii="Times New Roman" w:hAnsi="Times New Roman" w:cs="Times New Roman"/>
          <w:sz w:val="24"/>
          <w:szCs w:val="24"/>
        </w:rPr>
        <w:t xml:space="preserve"> </w:t>
      </w:r>
      <w:r w:rsidRPr="009E3B7E">
        <w:rPr>
          <w:rFonts w:ascii="Times New Roman" w:hAnsi="Times New Roman" w:cs="Times New Roman"/>
          <w:sz w:val="24"/>
          <w:szCs w:val="24"/>
        </w:rPr>
        <w:t xml:space="preserve">meanwhile looks to outer space as a site of preservation, with hi-tech storage devices designed to last billions of years planned for distribution across the solar system and beyond (one such ‘Archive of Civilization’ was attached to a privately funded lunar lander that crashed into the moon in 2019, another will be orbiting the sun for the next 30 million years in the glove compartment of Elon Musk’s Tesla). These join well-known global </w:t>
      </w:r>
      <w:r w:rsidR="00BF569D" w:rsidRPr="009E3B7E">
        <w:rPr>
          <w:rFonts w:ascii="Times New Roman" w:hAnsi="Times New Roman" w:cs="Times New Roman"/>
          <w:sz w:val="24"/>
          <w:szCs w:val="24"/>
          <w:lang w:val="en-US"/>
        </w:rPr>
        <w:t>projects</w:t>
      </w:r>
      <w:r w:rsidRPr="009E3B7E">
        <w:rPr>
          <w:rFonts w:ascii="Times New Roman" w:hAnsi="Times New Roman" w:cs="Times New Roman"/>
          <w:sz w:val="24"/>
          <w:szCs w:val="24"/>
        </w:rPr>
        <w:t xml:space="preserve"> such as the Voyager Golden Records and the Svalbard Global Seed Vault as premeditated fragments of material, cultural or biological inheritance: a ‘gift’ </w:t>
      </w:r>
      <w:r w:rsidR="00BF569D" w:rsidRPr="009E3B7E">
        <w:rPr>
          <w:rFonts w:ascii="Times New Roman" w:hAnsi="Times New Roman" w:cs="Times New Roman"/>
          <w:sz w:val="24"/>
          <w:szCs w:val="24"/>
        </w:rPr>
        <w:t>from the present,</w:t>
      </w:r>
      <w:r w:rsidRPr="009E3B7E">
        <w:rPr>
          <w:rFonts w:ascii="Times New Roman" w:hAnsi="Times New Roman" w:cs="Times New Roman"/>
          <w:sz w:val="24"/>
          <w:szCs w:val="24"/>
        </w:rPr>
        <w:t xml:space="preserve"> to the future</w:t>
      </w:r>
      <w:r w:rsidR="0076576D">
        <w:rPr>
          <w:rFonts w:ascii="Times New Roman" w:hAnsi="Times New Roman" w:cs="Times New Roman"/>
          <w:sz w:val="24"/>
          <w:szCs w:val="24"/>
        </w:rPr>
        <w:t>.</w:t>
      </w:r>
      <w:r w:rsidRPr="009E3B7E">
        <w:rPr>
          <w:rFonts w:ascii="Times New Roman" w:hAnsi="Times New Roman" w:cs="Times New Roman"/>
          <w:sz w:val="24"/>
          <w:szCs w:val="24"/>
        </w:rPr>
        <w:t xml:space="preserve"> What such projects often fail to register however is the fact that – as Scranton admits (echoing arguments in Derrida’s </w:t>
      </w:r>
      <w:r w:rsidRPr="009E3B7E">
        <w:rPr>
          <w:rFonts w:ascii="Times New Roman" w:hAnsi="Times New Roman" w:cs="Times New Roman"/>
          <w:i/>
          <w:sz w:val="24"/>
          <w:szCs w:val="24"/>
        </w:rPr>
        <w:t>Archive Fever</w:t>
      </w:r>
      <w:r w:rsidRPr="009E3B7E">
        <w:rPr>
          <w:rFonts w:ascii="Times New Roman" w:hAnsi="Times New Roman" w:cs="Times New Roman"/>
          <w:sz w:val="24"/>
          <w:szCs w:val="24"/>
        </w:rPr>
        <w:t xml:space="preserve">) – ‘the heritage of the dead’ always needs nurturing: “This nurturing is a practice not strictly of curation… but of active attention, cultivation, making and remaking. It is not enough for the archive to be stored, mapped, or digitized. It must be </w:t>
      </w:r>
      <w:r w:rsidRPr="009E3B7E">
        <w:rPr>
          <w:rFonts w:ascii="Times New Roman" w:hAnsi="Times New Roman" w:cs="Times New Roman"/>
          <w:i/>
          <w:sz w:val="24"/>
          <w:szCs w:val="24"/>
        </w:rPr>
        <w:t>worked</w:t>
      </w:r>
      <w:r w:rsidR="0076576D">
        <w:rPr>
          <w:rFonts w:ascii="Times New Roman" w:hAnsi="Times New Roman" w:cs="Times New Roman"/>
          <w:i/>
          <w:sz w:val="24"/>
          <w:szCs w:val="24"/>
        </w:rPr>
        <w:t>.</w:t>
      </w:r>
      <w:r w:rsidRPr="009E3B7E">
        <w:rPr>
          <w:rFonts w:ascii="Times New Roman" w:hAnsi="Times New Roman" w:cs="Times New Roman"/>
          <w:sz w:val="24"/>
          <w:szCs w:val="24"/>
        </w:rPr>
        <w:t>”</w:t>
      </w:r>
      <w:r w:rsidR="0076576D">
        <w:rPr>
          <w:rStyle w:val="EndnoteReference"/>
          <w:rFonts w:ascii="Times New Roman" w:hAnsi="Times New Roman" w:cs="Times New Roman"/>
          <w:sz w:val="24"/>
          <w:szCs w:val="24"/>
        </w:rPr>
        <w:endnoteReference w:id="17"/>
      </w:r>
      <w:r w:rsidRPr="009E3B7E">
        <w:rPr>
          <w:rFonts w:ascii="Times New Roman" w:hAnsi="Times New Roman" w:cs="Times New Roman"/>
          <w:sz w:val="24"/>
          <w:szCs w:val="24"/>
        </w:rPr>
        <w:t xml:space="preserve"> </w:t>
      </w:r>
    </w:p>
    <w:p w14:paraId="05B9672D" w14:textId="77777777" w:rsidR="00E80EB4" w:rsidRPr="009E3B7E" w:rsidRDefault="00E80EB4" w:rsidP="00E80EB4">
      <w:pPr>
        <w:spacing w:line="360" w:lineRule="auto"/>
        <w:rPr>
          <w:rFonts w:ascii="Times New Roman" w:hAnsi="Times New Roman" w:cs="Times New Roman"/>
          <w:sz w:val="24"/>
          <w:szCs w:val="24"/>
        </w:rPr>
      </w:pPr>
    </w:p>
    <w:p w14:paraId="70CFF76E" w14:textId="63566DBC" w:rsidR="00F66902" w:rsidRPr="009E3B7E" w:rsidRDefault="009F3438" w:rsidP="00E80EB4">
      <w:pPr>
        <w:spacing w:line="360" w:lineRule="auto"/>
        <w:rPr>
          <w:rFonts w:ascii="Times New Roman" w:hAnsi="Times New Roman" w:cs="Times New Roman"/>
          <w:sz w:val="24"/>
          <w:szCs w:val="24"/>
        </w:rPr>
      </w:pPr>
      <w:r w:rsidRPr="009E3B7E">
        <w:rPr>
          <w:rFonts w:ascii="Times New Roman" w:hAnsi="Times New Roman" w:cs="Times New Roman"/>
          <w:sz w:val="24"/>
          <w:szCs w:val="24"/>
        </w:rPr>
        <w:t xml:space="preserve">While </w:t>
      </w:r>
      <w:r w:rsidRPr="009E3B7E">
        <w:rPr>
          <w:rFonts w:ascii="Times New Roman" w:hAnsi="Times New Roman" w:cs="Times New Roman"/>
          <w:i/>
          <w:sz w:val="24"/>
          <w:szCs w:val="24"/>
        </w:rPr>
        <w:t>Learning to Die in the Anthropocene</w:t>
      </w:r>
      <w:r w:rsidRPr="009E3B7E">
        <w:rPr>
          <w:rFonts w:ascii="Times New Roman" w:hAnsi="Times New Roman" w:cs="Times New Roman"/>
          <w:sz w:val="24"/>
          <w:szCs w:val="24"/>
        </w:rPr>
        <w:t xml:space="preserve"> relies on a familiar conception of heritage to take forward certain aspects of the past and the present into the future, other ways of confronting the more-than-human entanglements of the new inheritance paradigm ask fundamental questions about what heritage </w:t>
      </w:r>
      <w:r w:rsidRPr="009E3B7E">
        <w:rPr>
          <w:rFonts w:ascii="Times New Roman" w:hAnsi="Times New Roman" w:cs="Times New Roman"/>
          <w:i/>
          <w:sz w:val="24"/>
          <w:szCs w:val="24"/>
        </w:rPr>
        <w:t>is</w:t>
      </w:r>
      <w:r w:rsidRPr="009E3B7E">
        <w:rPr>
          <w:rFonts w:ascii="Times New Roman" w:hAnsi="Times New Roman" w:cs="Times New Roman"/>
          <w:sz w:val="24"/>
          <w:szCs w:val="24"/>
        </w:rPr>
        <w:t xml:space="preserve">. Take genealogical research for example – </w:t>
      </w:r>
      <w:r w:rsidR="00BF569D" w:rsidRPr="009E3B7E">
        <w:rPr>
          <w:rFonts w:ascii="Times New Roman" w:hAnsi="Times New Roman" w:cs="Times New Roman"/>
          <w:sz w:val="24"/>
          <w:szCs w:val="24"/>
        </w:rPr>
        <w:t>a</w:t>
      </w:r>
      <w:r w:rsidRPr="009E3B7E">
        <w:rPr>
          <w:rFonts w:ascii="Times New Roman" w:hAnsi="Times New Roman" w:cs="Times New Roman"/>
          <w:sz w:val="24"/>
          <w:szCs w:val="24"/>
        </w:rPr>
        <w:t xml:space="preserve"> popular heritage pastime that has developed into a multinational industry supported by DNA testing, in-depth archival research and popular entertainment.</w:t>
      </w:r>
      <w:r w:rsidR="00343BBA">
        <w:rPr>
          <w:rStyle w:val="EndnoteReference"/>
          <w:rFonts w:ascii="Times New Roman" w:hAnsi="Times New Roman" w:cs="Times New Roman"/>
          <w:sz w:val="24"/>
          <w:szCs w:val="24"/>
        </w:rPr>
        <w:endnoteReference w:id="18"/>
      </w:r>
      <w:r w:rsidRPr="009E3B7E">
        <w:rPr>
          <w:rFonts w:ascii="Times New Roman" w:hAnsi="Times New Roman" w:cs="Times New Roman"/>
          <w:sz w:val="24"/>
          <w:szCs w:val="24"/>
        </w:rPr>
        <w:t xml:space="preserve"> Typically framed through human-focused narratives of familial descent, economic inheritance, individual triumph or repressed trauma, the search for ancestors is symptomatic of the free-floating nature of modern life, which searches for roots in historical traces and half-remembered echoes of the past. Such pursuits veer between individual curiosity about lost family members and highly politicized attempts to prove certain connections to history. What these investigations rarely draw attention to however is the fact we are multilineage organisms made up of various human and non-human genomes: “The volume of the microbial organisms in our bodies is about the same as the volume of our brain, and the metabolic activity of those microbes is about equivalent to that of our liver. The microbiome </w:t>
      </w:r>
      <w:r w:rsidRPr="009E3B7E">
        <w:rPr>
          <w:rFonts w:ascii="Times New Roman" w:hAnsi="Times New Roman" w:cs="Times New Roman"/>
          <w:i/>
          <w:sz w:val="24"/>
          <w:szCs w:val="24"/>
        </w:rPr>
        <w:t xml:space="preserve">is </w:t>
      </w:r>
      <w:r w:rsidRPr="009E3B7E">
        <w:rPr>
          <w:rFonts w:ascii="Times New Roman" w:hAnsi="Times New Roman" w:cs="Times New Roman"/>
          <w:sz w:val="24"/>
          <w:szCs w:val="24"/>
        </w:rPr>
        <w:t xml:space="preserve">another organ; </w:t>
      </w:r>
      <w:proofErr w:type="gramStart"/>
      <w:r w:rsidRPr="009E3B7E">
        <w:rPr>
          <w:rFonts w:ascii="Times New Roman" w:hAnsi="Times New Roman" w:cs="Times New Roman"/>
          <w:sz w:val="24"/>
          <w:szCs w:val="24"/>
        </w:rPr>
        <w:t>so</w:t>
      </w:r>
      <w:proofErr w:type="gramEnd"/>
      <w:r w:rsidRPr="009E3B7E">
        <w:rPr>
          <w:rFonts w:ascii="Times New Roman" w:hAnsi="Times New Roman" w:cs="Times New Roman"/>
          <w:sz w:val="24"/>
          <w:szCs w:val="24"/>
        </w:rPr>
        <w:t xml:space="preserve"> we are not </w:t>
      </w:r>
      <w:r w:rsidRPr="009E3B7E">
        <w:rPr>
          <w:rFonts w:ascii="Times New Roman" w:hAnsi="Times New Roman" w:cs="Times New Roman"/>
          <w:i/>
          <w:sz w:val="24"/>
          <w:szCs w:val="24"/>
        </w:rPr>
        <w:t xml:space="preserve">anatomically </w:t>
      </w:r>
      <w:r w:rsidRPr="009E3B7E">
        <w:rPr>
          <w:rFonts w:ascii="Times New Roman" w:hAnsi="Times New Roman" w:cs="Times New Roman"/>
          <w:sz w:val="24"/>
          <w:szCs w:val="24"/>
        </w:rPr>
        <w:t>individuals at all</w:t>
      </w:r>
      <w:r w:rsidR="00343BBA">
        <w:rPr>
          <w:rFonts w:ascii="Times New Roman" w:hAnsi="Times New Roman" w:cs="Times New Roman"/>
          <w:sz w:val="24"/>
          <w:szCs w:val="24"/>
        </w:rPr>
        <w:t>.</w:t>
      </w:r>
      <w:r w:rsidRPr="009E3B7E">
        <w:rPr>
          <w:rFonts w:ascii="Times New Roman" w:hAnsi="Times New Roman" w:cs="Times New Roman"/>
          <w:sz w:val="24"/>
          <w:szCs w:val="24"/>
        </w:rPr>
        <w:t>”</w:t>
      </w:r>
      <w:r w:rsidR="00343BBA">
        <w:rPr>
          <w:rStyle w:val="EndnoteReference"/>
          <w:rFonts w:ascii="Times New Roman" w:hAnsi="Times New Roman" w:cs="Times New Roman"/>
          <w:sz w:val="24"/>
          <w:szCs w:val="24"/>
        </w:rPr>
        <w:endnoteReference w:id="19"/>
      </w:r>
      <w:r w:rsidR="00343BBA">
        <w:rPr>
          <w:rFonts w:ascii="Times New Roman" w:hAnsi="Times New Roman" w:cs="Times New Roman"/>
          <w:sz w:val="24"/>
          <w:szCs w:val="24"/>
        </w:rPr>
        <w:t xml:space="preserve"> </w:t>
      </w:r>
      <w:r w:rsidRPr="009E3B7E">
        <w:rPr>
          <w:rFonts w:ascii="Times New Roman" w:hAnsi="Times New Roman" w:cs="Times New Roman"/>
          <w:sz w:val="24"/>
          <w:szCs w:val="24"/>
        </w:rPr>
        <w:t xml:space="preserve">This model of genetic heritage is anathema to a discipline and industry built on the prioritization of human modes of inheritance (whether in cultural, biological or individual form), but it may prove vital if we are to rethink notions of care and vulnerability in the age of the Anthropocene. Just as the Anthropocene destabilizes long-held certainties about the break between human and natural history, so recent work in biology, anthropology and the environmental sciences underlines the co-evolution and embedded entanglement of all life. </w:t>
      </w:r>
      <w:r w:rsidRPr="009E3B7E">
        <w:rPr>
          <w:rFonts w:ascii="Times New Roman" w:hAnsi="Times New Roman" w:cs="Times New Roman"/>
          <w:sz w:val="24"/>
          <w:szCs w:val="24"/>
        </w:rPr>
        <w:lastRenderedPageBreak/>
        <w:t>As Haraway puts it, “</w:t>
      </w:r>
      <w:r w:rsidR="009C3BBA">
        <w:rPr>
          <w:rFonts w:ascii="Times New Roman" w:hAnsi="Times New Roman" w:cs="Times New Roman"/>
          <w:sz w:val="24"/>
          <w:szCs w:val="24"/>
        </w:rPr>
        <w:t>critters</w:t>
      </w:r>
      <w:r w:rsidRPr="009E3B7E">
        <w:rPr>
          <w:rFonts w:ascii="Times New Roman" w:hAnsi="Times New Roman" w:cs="Times New Roman"/>
          <w:sz w:val="24"/>
          <w:szCs w:val="24"/>
        </w:rPr>
        <w:t xml:space="preserve"> – human and not – become with each other, compose and decompose each other, in every scale and register of time and stuff in </w:t>
      </w:r>
      <w:proofErr w:type="spellStart"/>
      <w:r w:rsidRPr="009E3B7E">
        <w:rPr>
          <w:rFonts w:ascii="Times New Roman" w:hAnsi="Times New Roman" w:cs="Times New Roman"/>
          <w:sz w:val="24"/>
          <w:szCs w:val="24"/>
        </w:rPr>
        <w:t>sympoietic</w:t>
      </w:r>
      <w:proofErr w:type="spellEnd"/>
      <w:r w:rsidRPr="009E3B7E">
        <w:rPr>
          <w:rFonts w:ascii="Times New Roman" w:hAnsi="Times New Roman" w:cs="Times New Roman"/>
          <w:sz w:val="24"/>
          <w:szCs w:val="24"/>
        </w:rPr>
        <w:t xml:space="preserve"> tangling, in earthly worlding and </w:t>
      </w:r>
      <w:proofErr w:type="spellStart"/>
      <w:r w:rsidRPr="009E3B7E">
        <w:rPr>
          <w:rFonts w:ascii="Times New Roman" w:hAnsi="Times New Roman" w:cs="Times New Roman"/>
          <w:sz w:val="24"/>
          <w:szCs w:val="24"/>
        </w:rPr>
        <w:t>unworlding</w:t>
      </w:r>
      <w:proofErr w:type="spellEnd"/>
      <w:r w:rsidR="00343BBA">
        <w:rPr>
          <w:rFonts w:ascii="Times New Roman" w:hAnsi="Times New Roman" w:cs="Times New Roman"/>
          <w:sz w:val="24"/>
          <w:szCs w:val="24"/>
        </w:rPr>
        <w:t>.</w:t>
      </w:r>
      <w:r w:rsidRPr="009E3B7E">
        <w:rPr>
          <w:rFonts w:ascii="Times New Roman" w:hAnsi="Times New Roman" w:cs="Times New Roman"/>
          <w:sz w:val="24"/>
          <w:szCs w:val="24"/>
        </w:rPr>
        <w:t>”</w:t>
      </w:r>
      <w:r w:rsidR="00343BBA">
        <w:rPr>
          <w:rStyle w:val="EndnoteReference"/>
          <w:rFonts w:ascii="Times New Roman" w:hAnsi="Times New Roman" w:cs="Times New Roman"/>
          <w:sz w:val="24"/>
          <w:szCs w:val="24"/>
        </w:rPr>
        <w:endnoteReference w:id="20"/>
      </w:r>
      <w:r w:rsidRPr="009E3B7E">
        <w:rPr>
          <w:rFonts w:ascii="Times New Roman" w:hAnsi="Times New Roman" w:cs="Times New Roman"/>
          <w:sz w:val="24"/>
          <w:szCs w:val="24"/>
        </w:rPr>
        <w:t xml:space="preserve"> </w:t>
      </w:r>
    </w:p>
    <w:p w14:paraId="30C1482F" w14:textId="77777777" w:rsidR="00E80EB4" w:rsidRPr="009E3B7E" w:rsidRDefault="00E80EB4" w:rsidP="00E80EB4">
      <w:pPr>
        <w:spacing w:line="360" w:lineRule="auto"/>
        <w:rPr>
          <w:rFonts w:ascii="Times New Roman" w:hAnsi="Times New Roman" w:cs="Times New Roman"/>
          <w:sz w:val="24"/>
          <w:szCs w:val="24"/>
        </w:rPr>
      </w:pPr>
    </w:p>
    <w:p w14:paraId="66BADF5C" w14:textId="301345FF" w:rsidR="00F66902" w:rsidRPr="009E3B7E" w:rsidRDefault="009F3438" w:rsidP="00E80EB4">
      <w:pPr>
        <w:spacing w:line="360" w:lineRule="auto"/>
        <w:rPr>
          <w:rFonts w:ascii="Times New Roman" w:hAnsi="Times New Roman" w:cs="Times New Roman"/>
          <w:sz w:val="24"/>
          <w:szCs w:val="24"/>
        </w:rPr>
      </w:pPr>
      <w:r w:rsidRPr="009E3B7E">
        <w:rPr>
          <w:rFonts w:ascii="Times New Roman" w:hAnsi="Times New Roman" w:cs="Times New Roman"/>
          <w:sz w:val="24"/>
          <w:szCs w:val="24"/>
        </w:rPr>
        <w:t xml:space="preserve">The above quotes are taken from the edited collection </w:t>
      </w:r>
      <w:r w:rsidRPr="009E3B7E">
        <w:rPr>
          <w:rFonts w:ascii="Times New Roman" w:hAnsi="Times New Roman" w:cs="Times New Roman"/>
          <w:i/>
          <w:sz w:val="24"/>
          <w:szCs w:val="24"/>
        </w:rPr>
        <w:t>Arts of Living on a Damaged Planet</w:t>
      </w:r>
      <w:r w:rsidR="00F34A08">
        <w:rPr>
          <w:rFonts w:ascii="Times New Roman" w:hAnsi="Times New Roman" w:cs="Times New Roman"/>
          <w:sz w:val="24"/>
          <w:szCs w:val="24"/>
        </w:rPr>
        <w:t xml:space="preserve"> </w:t>
      </w:r>
      <w:r w:rsidRPr="009E3B7E">
        <w:rPr>
          <w:rFonts w:ascii="Times New Roman" w:hAnsi="Times New Roman" w:cs="Times New Roman"/>
          <w:sz w:val="24"/>
          <w:szCs w:val="24"/>
        </w:rPr>
        <w:t>– a volume which takes the notion of entanglement as a critical point of departure to reconsider the ‘monsters’ and ‘ghosts’ of the Anthropocene. Monsters in this reading are held to signify the symbiosis of “enfolding bodies” against the “conceit of the individual,” while ghosts act as guides to the “haunted lives and landscapes” of environmental degradation.</w:t>
      </w:r>
      <w:r w:rsidR="00F34A08">
        <w:rPr>
          <w:rStyle w:val="EndnoteReference"/>
          <w:rFonts w:ascii="Times New Roman" w:hAnsi="Times New Roman" w:cs="Times New Roman"/>
          <w:sz w:val="24"/>
          <w:szCs w:val="24"/>
        </w:rPr>
        <w:endnoteReference w:id="21"/>
      </w:r>
      <w:r w:rsidRPr="009E3B7E">
        <w:rPr>
          <w:rFonts w:ascii="Times New Roman" w:hAnsi="Times New Roman" w:cs="Times New Roman"/>
          <w:sz w:val="24"/>
          <w:szCs w:val="24"/>
        </w:rPr>
        <w:t xml:space="preserve"> As the</w:t>
      </w:r>
      <w:r w:rsidR="00F34A08">
        <w:rPr>
          <w:rFonts w:ascii="Times New Roman" w:hAnsi="Times New Roman" w:cs="Times New Roman"/>
          <w:sz w:val="24"/>
          <w:szCs w:val="24"/>
        </w:rPr>
        <w:t xml:space="preserve"> </w:t>
      </w:r>
      <w:proofErr w:type="spellStart"/>
      <w:r w:rsidRPr="009E3B7E">
        <w:rPr>
          <w:rFonts w:ascii="Times New Roman" w:hAnsi="Times New Roman" w:cs="Times New Roman"/>
          <w:sz w:val="24"/>
          <w:szCs w:val="24"/>
        </w:rPr>
        <w:t>editors</w:t>
      </w:r>
      <w:proofErr w:type="spellEnd"/>
      <w:r w:rsidRPr="009E3B7E">
        <w:rPr>
          <w:rFonts w:ascii="Times New Roman" w:hAnsi="Times New Roman" w:cs="Times New Roman"/>
          <w:sz w:val="24"/>
          <w:szCs w:val="24"/>
        </w:rPr>
        <w:t xml:space="preserve"> note, a major challenge of the Anthropocene is “how to think geological, biological, chemical, and cultural activity together, as a network of interactions with shared histories and unstable futures</w:t>
      </w:r>
      <w:r w:rsidR="00F34A08">
        <w:rPr>
          <w:rFonts w:ascii="Times New Roman" w:hAnsi="Times New Roman" w:cs="Times New Roman"/>
          <w:sz w:val="24"/>
          <w:szCs w:val="24"/>
        </w:rPr>
        <w:t>.</w:t>
      </w:r>
      <w:r w:rsidRPr="009E3B7E">
        <w:rPr>
          <w:rFonts w:ascii="Times New Roman" w:hAnsi="Times New Roman" w:cs="Times New Roman"/>
          <w:sz w:val="24"/>
          <w:szCs w:val="24"/>
        </w:rPr>
        <w:t>”</w:t>
      </w:r>
      <w:r w:rsidR="00F34A08">
        <w:rPr>
          <w:rStyle w:val="EndnoteReference"/>
          <w:rFonts w:ascii="Times New Roman" w:hAnsi="Times New Roman" w:cs="Times New Roman"/>
          <w:sz w:val="24"/>
          <w:szCs w:val="24"/>
        </w:rPr>
        <w:endnoteReference w:id="22"/>
      </w:r>
      <w:r w:rsidRPr="009E3B7E">
        <w:rPr>
          <w:rFonts w:ascii="Times New Roman" w:hAnsi="Times New Roman" w:cs="Times New Roman"/>
          <w:sz w:val="24"/>
          <w:szCs w:val="24"/>
        </w:rPr>
        <w:t xml:space="preserve"> Ghosts and monsters are not fantastical figures from this perspective; they are “observable parts of the world” that we might learn “through multiple practices of knowing</w:t>
      </w:r>
      <w:r w:rsidR="00F34A08">
        <w:rPr>
          <w:rFonts w:ascii="Times New Roman" w:hAnsi="Times New Roman" w:cs="Times New Roman"/>
          <w:sz w:val="24"/>
          <w:szCs w:val="24"/>
        </w:rPr>
        <w:t>.</w:t>
      </w:r>
      <w:r w:rsidRPr="009E3B7E">
        <w:rPr>
          <w:rFonts w:ascii="Times New Roman" w:hAnsi="Times New Roman" w:cs="Times New Roman"/>
          <w:sz w:val="24"/>
          <w:szCs w:val="24"/>
        </w:rPr>
        <w:t>”</w:t>
      </w:r>
      <w:r w:rsidR="00F34A08">
        <w:rPr>
          <w:rStyle w:val="EndnoteReference"/>
          <w:rFonts w:ascii="Times New Roman" w:hAnsi="Times New Roman" w:cs="Times New Roman"/>
          <w:sz w:val="24"/>
          <w:szCs w:val="24"/>
        </w:rPr>
        <w:endnoteReference w:id="23"/>
      </w:r>
      <w:r w:rsidRPr="009E3B7E">
        <w:rPr>
          <w:rFonts w:ascii="Times New Roman" w:hAnsi="Times New Roman" w:cs="Times New Roman"/>
          <w:sz w:val="24"/>
          <w:szCs w:val="24"/>
        </w:rPr>
        <w:t xml:space="preserve"> Arts of living </w:t>
      </w:r>
      <w:r w:rsidR="003573AE" w:rsidRPr="009E3B7E">
        <w:rPr>
          <w:rFonts w:ascii="Times New Roman" w:hAnsi="Times New Roman" w:cs="Times New Roman"/>
          <w:sz w:val="24"/>
          <w:szCs w:val="24"/>
        </w:rPr>
        <w:t>then</w:t>
      </w:r>
      <w:r w:rsidRPr="009E3B7E">
        <w:rPr>
          <w:rFonts w:ascii="Times New Roman" w:hAnsi="Times New Roman" w:cs="Times New Roman"/>
          <w:sz w:val="24"/>
          <w:szCs w:val="24"/>
        </w:rPr>
        <w:t xml:space="preserve"> are necessary to counteract threats to our very survival. Crucially, this cuts across technological solutions to ecological collapse, new modes of storytelling and creative practice, and political encounters with diverse forms of oppression and marginalization</w:t>
      </w:r>
      <w:r w:rsidR="00375CB6" w:rsidRPr="009E3B7E">
        <w:rPr>
          <w:rFonts w:ascii="Times New Roman" w:hAnsi="Times New Roman" w:cs="Times New Roman"/>
          <w:sz w:val="24"/>
          <w:szCs w:val="24"/>
        </w:rPr>
        <w:t>:</w:t>
      </w:r>
      <w:r w:rsidRPr="009E3B7E">
        <w:rPr>
          <w:rFonts w:ascii="Times New Roman" w:hAnsi="Times New Roman" w:cs="Times New Roman"/>
          <w:sz w:val="24"/>
          <w:szCs w:val="24"/>
        </w:rPr>
        <w:t xml:space="preserve"> “There is something mythlike about this task: we consider anew the living and the dead; the ability to speak with invisible and cosmic beings; and the possibility of the end of the world</w:t>
      </w:r>
      <w:r w:rsidR="00F34A08">
        <w:rPr>
          <w:rFonts w:ascii="Times New Roman" w:hAnsi="Times New Roman" w:cs="Times New Roman"/>
          <w:sz w:val="24"/>
          <w:szCs w:val="24"/>
        </w:rPr>
        <w:t>.</w:t>
      </w:r>
      <w:r w:rsidRPr="009E3B7E">
        <w:rPr>
          <w:rFonts w:ascii="Times New Roman" w:hAnsi="Times New Roman" w:cs="Times New Roman"/>
          <w:sz w:val="24"/>
          <w:szCs w:val="24"/>
        </w:rPr>
        <w:t>”</w:t>
      </w:r>
      <w:r w:rsidR="00F34A08">
        <w:rPr>
          <w:rStyle w:val="EndnoteReference"/>
          <w:rFonts w:ascii="Times New Roman" w:hAnsi="Times New Roman" w:cs="Times New Roman"/>
          <w:sz w:val="24"/>
          <w:szCs w:val="24"/>
        </w:rPr>
        <w:endnoteReference w:id="24"/>
      </w:r>
      <w:r w:rsidRPr="009E3B7E">
        <w:rPr>
          <w:rFonts w:ascii="Times New Roman" w:hAnsi="Times New Roman" w:cs="Times New Roman"/>
          <w:sz w:val="24"/>
          <w:szCs w:val="24"/>
        </w:rPr>
        <w:t xml:space="preserve"> </w:t>
      </w:r>
    </w:p>
    <w:p w14:paraId="14F2184A" w14:textId="77777777" w:rsidR="00E80EB4" w:rsidRPr="009E3B7E" w:rsidRDefault="00E80EB4" w:rsidP="00E80EB4">
      <w:pPr>
        <w:spacing w:line="360" w:lineRule="auto"/>
        <w:rPr>
          <w:rFonts w:ascii="Times New Roman" w:hAnsi="Times New Roman" w:cs="Times New Roman"/>
          <w:sz w:val="24"/>
          <w:szCs w:val="24"/>
        </w:rPr>
      </w:pPr>
    </w:p>
    <w:p w14:paraId="4278CC19" w14:textId="25D30321" w:rsidR="00F66902" w:rsidRPr="009E3B7E" w:rsidRDefault="009F3438" w:rsidP="00E80EB4">
      <w:pPr>
        <w:spacing w:line="360" w:lineRule="auto"/>
        <w:rPr>
          <w:rFonts w:ascii="Times New Roman" w:hAnsi="Times New Roman" w:cs="Times New Roman"/>
          <w:sz w:val="24"/>
          <w:szCs w:val="24"/>
        </w:rPr>
      </w:pPr>
      <w:r w:rsidRPr="009E3B7E">
        <w:rPr>
          <w:rFonts w:ascii="Times New Roman" w:hAnsi="Times New Roman" w:cs="Times New Roman"/>
          <w:sz w:val="24"/>
          <w:szCs w:val="24"/>
        </w:rPr>
        <w:t xml:space="preserve">Working along this grain, we might situate heritage as a vital though often overlooked aspect of the </w:t>
      </w:r>
      <w:r w:rsidR="00A64F1D" w:rsidRPr="009E3B7E">
        <w:rPr>
          <w:rFonts w:ascii="Times New Roman" w:hAnsi="Times New Roman" w:cs="Times New Roman"/>
          <w:sz w:val="24"/>
          <w:szCs w:val="24"/>
        </w:rPr>
        <w:t>E</w:t>
      </w:r>
      <w:r w:rsidRPr="009E3B7E">
        <w:rPr>
          <w:rFonts w:ascii="Times New Roman" w:hAnsi="Times New Roman" w:cs="Times New Roman"/>
          <w:sz w:val="24"/>
          <w:szCs w:val="24"/>
        </w:rPr>
        <w:t>arth’s very ‘livability’. There are multiple pathways to think with in this regard. Non-Western practices of care and conservation for example often dissolve the boundaries between natural and cultural heritage through their insistence on the spirituality and enchantment of material things</w:t>
      </w:r>
      <w:r w:rsidR="00F34A08">
        <w:rPr>
          <w:rFonts w:ascii="Times New Roman" w:hAnsi="Times New Roman" w:cs="Times New Roman"/>
          <w:sz w:val="24"/>
          <w:szCs w:val="24"/>
        </w:rPr>
        <w:t xml:space="preserve">. </w:t>
      </w:r>
      <w:r w:rsidRPr="009E3B7E">
        <w:rPr>
          <w:rFonts w:ascii="Times New Roman" w:hAnsi="Times New Roman" w:cs="Times New Roman"/>
          <w:sz w:val="24"/>
          <w:szCs w:val="24"/>
        </w:rPr>
        <w:t>Alternatively, we might consider Indigenous claims of ‘human rights for nonhumans’ as a politically charged mode of heritage protection across natural-cultural worlds.</w:t>
      </w:r>
      <w:r w:rsidR="00F34A08">
        <w:rPr>
          <w:rStyle w:val="EndnoteReference"/>
          <w:rFonts w:ascii="Times New Roman" w:hAnsi="Times New Roman" w:cs="Times New Roman"/>
          <w:sz w:val="24"/>
          <w:szCs w:val="24"/>
        </w:rPr>
        <w:endnoteReference w:id="25"/>
      </w:r>
      <w:r w:rsidRPr="009E3B7E">
        <w:rPr>
          <w:rFonts w:ascii="Times New Roman" w:hAnsi="Times New Roman" w:cs="Times New Roman"/>
          <w:sz w:val="24"/>
          <w:szCs w:val="24"/>
        </w:rPr>
        <w:t xml:space="preserve"> Identifying heritage as a key component in the ‘arts of living’ underlines the need to rethink and redirect notions of care, curation, management and preservation, from museum objects to urban landscapes. These activities draw on and intersect with key questions in geology, biology, history, anthropology and the environmental humanities. Heritage </w:t>
      </w:r>
      <w:r w:rsidRPr="009E3B7E">
        <w:rPr>
          <w:rFonts w:ascii="Times New Roman" w:hAnsi="Times New Roman" w:cs="Times New Roman"/>
          <w:i/>
          <w:sz w:val="24"/>
          <w:szCs w:val="24"/>
        </w:rPr>
        <w:t>in</w:t>
      </w:r>
      <w:r w:rsidRPr="009E3B7E">
        <w:rPr>
          <w:rFonts w:ascii="Times New Roman" w:hAnsi="Times New Roman" w:cs="Times New Roman"/>
          <w:sz w:val="24"/>
          <w:szCs w:val="24"/>
        </w:rPr>
        <w:t xml:space="preserve"> the Anthropocene must embrace this multiplicity to encourage new ways of imagining and engaging with the past in the present to shape alternative futures. </w:t>
      </w:r>
    </w:p>
    <w:p w14:paraId="12035B07" w14:textId="77777777" w:rsidR="00E80EB4" w:rsidRPr="009E3B7E" w:rsidRDefault="00E80EB4" w:rsidP="00E80EB4">
      <w:pPr>
        <w:spacing w:line="360" w:lineRule="auto"/>
        <w:rPr>
          <w:rFonts w:ascii="Times New Roman" w:hAnsi="Times New Roman" w:cs="Times New Roman"/>
          <w:sz w:val="24"/>
          <w:szCs w:val="24"/>
        </w:rPr>
      </w:pPr>
    </w:p>
    <w:p w14:paraId="48F85D2B" w14:textId="668FF7FC" w:rsidR="00F66902" w:rsidRPr="009E3B7E" w:rsidRDefault="009F3438" w:rsidP="00E80EB4">
      <w:pPr>
        <w:spacing w:line="360" w:lineRule="auto"/>
        <w:rPr>
          <w:rFonts w:ascii="Times New Roman" w:hAnsi="Times New Roman" w:cs="Times New Roman"/>
          <w:sz w:val="24"/>
          <w:szCs w:val="24"/>
        </w:rPr>
      </w:pPr>
      <w:r w:rsidRPr="009E3B7E">
        <w:rPr>
          <w:rFonts w:ascii="Times New Roman" w:hAnsi="Times New Roman" w:cs="Times New Roman"/>
          <w:sz w:val="24"/>
          <w:szCs w:val="24"/>
        </w:rPr>
        <w:lastRenderedPageBreak/>
        <w:t>An important line of inquiry here concerns the interpretive nature of many heritage</w:t>
      </w:r>
      <w:r w:rsidR="0038317B">
        <w:rPr>
          <w:rFonts w:ascii="Times New Roman" w:hAnsi="Times New Roman" w:cs="Times New Roman"/>
          <w:sz w:val="24"/>
          <w:szCs w:val="24"/>
        </w:rPr>
        <w:t xml:space="preserve"> </w:t>
      </w:r>
      <w:r w:rsidRPr="009E3B7E">
        <w:rPr>
          <w:rFonts w:ascii="Times New Roman" w:hAnsi="Times New Roman" w:cs="Times New Roman"/>
          <w:sz w:val="24"/>
          <w:szCs w:val="24"/>
        </w:rPr>
        <w:t xml:space="preserve">experiences. Various storytelling devices are employed by heritage to create links between past, present and future, from audio guides and wall plaques to films and museum displays. As well as constantly rethinking these tools, we need to construct alternative genealogies to populate them. One of the most notable reverberations of the Anthropocene has been a renewed commitment to entangled histories when describing the emergence of the modern world. Such narratives bring together histories of resource extraction and social formations, marginalized voices and non-human agencies. A heritage </w:t>
      </w:r>
      <w:r w:rsidRPr="009E3B7E">
        <w:rPr>
          <w:rFonts w:ascii="Times New Roman" w:hAnsi="Times New Roman" w:cs="Times New Roman"/>
          <w:i/>
          <w:sz w:val="24"/>
          <w:szCs w:val="24"/>
        </w:rPr>
        <w:t>of</w:t>
      </w:r>
      <w:r w:rsidRPr="009E3B7E">
        <w:rPr>
          <w:rFonts w:ascii="Times New Roman" w:hAnsi="Times New Roman" w:cs="Times New Roman"/>
          <w:sz w:val="24"/>
          <w:szCs w:val="24"/>
        </w:rPr>
        <w:t xml:space="preserve"> the Anthropocene will depend on these more-than-human stories and entangled lines of descent. Crucially, such accounts also bring to the surface unintended material residues and socio-political legacies. Despite – or perhaps because of – its geological framing, the Anthropocene cannot be divorced from urgent and lingering historical questions surrounding slavery, empire, colonialism and the rise of capital. Again, in this sense the notion of Anthropocene heritage extends rather than subverts progressive and emancipatory work in critical heritage studies scholarship and related fields. </w:t>
      </w:r>
    </w:p>
    <w:p w14:paraId="00A7FE9A" w14:textId="77777777" w:rsidR="00E80EB4" w:rsidRPr="009E3B7E" w:rsidRDefault="00E80EB4" w:rsidP="00E80EB4">
      <w:pPr>
        <w:spacing w:line="360" w:lineRule="auto"/>
        <w:rPr>
          <w:rFonts w:ascii="Times New Roman" w:hAnsi="Times New Roman" w:cs="Times New Roman"/>
          <w:sz w:val="24"/>
          <w:szCs w:val="24"/>
        </w:rPr>
      </w:pPr>
    </w:p>
    <w:p w14:paraId="6CB0735D" w14:textId="2CB26EB9" w:rsidR="00F66902" w:rsidRPr="009E3B7E" w:rsidRDefault="009F3438" w:rsidP="00E80EB4">
      <w:pPr>
        <w:spacing w:line="360" w:lineRule="auto"/>
        <w:rPr>
          <w:rFonts w:ascii="Times New Roman" w:hAnsi="Times New Roman" w:cs="Times New Roman"/>
          <w:sz w:val="24"/>
          <w:szCs w:val="24"/>
        </w:rPr>
      </w:pPr>
      <w:r w:rsidRPr="009E3B7E">
        <w:rPr>
          <w:rFonts w:ascii="Times New Roman" w:hAnsi="Times New Roman" w:cs="Times New Roman"/>
          <w:sz w:val="24"/>
          <w:szCs w:val="24"/>
        </w:rPr>
        <w:t xml:space="preserve">Finally, the possibility of heritage </w:t>
      </w:r>
      <w:r w:rsidRPr="009E3B7E">
        <w:rPr>
          <w:rFonts w:ascii="Times New Roman" w:hAnsi="Times New Roman" w:cs="Times New Roman"/>
          <w:i/>
          <w:sz w:val="24"/>
          <w:szCs w:val="24"/>
        </w:rPr>
        <w:t>after</w:t>
      </w:r>
      <w:r w:rsidRPr="009E3B7E">
        <w:rPr>
          <w:rFonts w:ascii="Times New Roman" w:hAnsi="Times New Roman" w:cs="Times New Roman"/>
          <w:sz w:val="24"/>
          <w:szCs w:val="24"/>
        </w:rPr>
        <w:t xml:space="preserve"> the Anthropocene points in two directions at once. The first concerns the future legacies diligently being produced today (plastic bodies and toxic landscapes, scarred minds and broken </w:t>
      </w:r>
      <w:r w:rsidR="003573AE" w:rsidRPr="009E3B7E">
        <w:rPr>
          <w:rFonts w:ascii="Times New Roman" w:hAnsi="Times New Roman" w:cs="Times New Roman"/>
          <w:sz w:val="24"/>
          <w:szCs w:val="24"/>
        </w:rPr>
        <w:t>ecosystems</w:t>
      </w:r>
      <w:r w:rsidRPr="009E3B7E">
        <w:rPr>
          <w:rFonts w:ascii="Times New Roman" w:hAnsi="Times New Roman" w:cs="Times New Roman"/>
          <w:sz w:val="24"/>
          <w:szCs w:val="24"/>
        </w:rPr>
        <w:t xml:space="preserve">); the second concerns the critical gesture of </w:t>
      </w:r>
      <w:r w:rsidRPr="009E3B7E">
        <w:rPr>
          <w:rFonts w:ascii="Times New Roman" w:hAnsi="Times New Roman" w:cs="Times New Roman"/>
          <w:i/>
          <w:sz w:val="24"/>
          <w:szCs w:val="24"/>
        </w:rPr>
        <w:t>post</w:t>
      </w:r>
      <w:r w:rsidRPr="009E3B7E">
        <w:rPr>
          <w:rFonts w:ascii="Times New Roman" w:hAnsi="Times New Roman" w:cs="Times New Roman"/>
          <w:sz w:val="24"/>
          <w:szCs w:val="24"/>
        </w:rPr>
        <w:t xml:space="preserve">-Anthropocene thinking – a peculiar consequence of the rapid take-up of the term in the arts and humanities and the equally swift recognition that it is wholly unsatisfactory as a socio-political diagnostic. What of heritage and the </w:t>
      </w:r>
      <w:proofErr w:type="spellStart"/>
      <w:r w:rsidRPr="009E3B7E">
        <w:rPr>
          <w:rFonts w:ascii="Times New Roman" w:hAnsi="Times New Roman" w:cs="Times New Roman"/>
          <w:sz w:val="24"/>
          <w:szCs w:val="24"/>
        </w:rPr>
        <w:t>Capitalocene</w:t>
      </w:r>
      <w:proofErr w:type="spellEnd"/>
      <w:r w:rsidRPr="009E3B7E">
        <w:rPr>
          <w:rFonts w:ascii="Times New Roman" w:hAnsi="Times New Roman" w:cs="Times New Roman"/>
          <w:sz w:val="24"/>
          <w:szCs w:val="24"/>
        </w:rPr>
        <w:t xml:space="preserve">, or the </w:t>
      </w:r>
      <w:proofErr w:type="spellStart"/>
      <w:r w:rsidRPr="009E3B7E">
        <w:rPr>
          <w:rFonts w:ascii="Times New Roman" w:hAnsi="Times New Roman" w:cs="Times New Roman"/>
          <w:sz w:val="24"/>
          <w:szCs w:val="24"/>
        </w:rPr>
        <w:t>Plantationocene</w:t>
      </w:r>
      <w:proofErr w:type="spellEnd"/>
      <w:r w:rsidRPr="009E3B7E">
        <w:rPr>
          <w:rFonts w:ascii="Times New Roman" w:hAnsi="Times New Roman" w:cs="Times New Roman"/>
          <w:sz w:val="24"/>
          <w:szCs w:val="24"/>
        </w:rPr>
        <w:t xml:space="preserve">, or the </w:t>
      </w:r>
      <w:proofErr w:type="spellStart"/>
      <w:r w:rsidRPr="009E3B7E">
        <w:rPr>
          <w:rFonts w:ascii="Times New Roman" w:hAnsi="Times New Roman" w:cs="Times New Roman"/>
          <w:sz w:val="24"/>
          <w:szCs w:val="24"/>
        </w:rPr>
        <w:t>Chthulucene</w:t>
      </w:r>
      <w:proofErr w:type="spellEnd"/>
      <w:r w:rsidRPr="009E3B7E">
        <w:rPr>
          <w:rFonts w:ascii="Times New Roman" w:hAnsi="Times New Roman" w:cs="Times New Roman"/>
          <w:sz w:val="24"/>
          <w:szCs w:val="24"/>
        </w:rPr>
        <w:t>? Such labels ask us to look again at the differential legacies and material disparities of a planet altered by human</w:t>
      </w:r>
      <w:r w:rsidR="004F383A">
        <w:rPr>
          <w:rFonts w:ascii="Times New Roman" w:hAnsi="Times New Roman" w:cs="Times New Roman"/>
          <w:sz w:val="24"/>
          <w:szCs w:val="24"/>
        </w:rPr>
        <w:t xml:space="preserve"> activities</w:t>
      </w:r>
      <w:r w:rsidRPr="009E3B7E">
        <w:rPr>
          <w:rFonts w:ascii="Times New Roman" w:hAnsi="Times New Roman" w:cs="Times New Roman"/>
          <w:sz w:val="24"/>
          <w:szCs w:val="24"/>
        </w:rPr>
        <w:t xml:space="preserve">. The challenge of the Anthropocene is such that entirely new modes of relating past, present and future are liable to emerge in its </w:t>
      </w:r>
      <w:r w:rsidR="00A64F1D" w:rsidRPr="009E3B7E">
        <w:rPr>
          <w:rFonts w:ascii="Times New Roman" w:hAnsi="Times New Roman" w:cs="Times New Roman"/>
          <w:sz w:val="24"/>
          <w:szCs w:val="24"/>
        </w:rPr>
        <w:t>wake</w:t>
      </w:r>
      <w:r w:rsidRPr="009E3B7E">
        <w:rPr>
          <w:rFonts w:ascii="Times New Roman" w:hAnsi="Times New Roman" w:cs="Times New Roman"/>
          <w:sz w:val="24"/>
          <w:szCs w:val="24"/>
        </w:rPr>
        <w:t>, whether as unintended consequences of inheritance and precarity or as subversive strategies of survival and flourishing.</w:t>
      </w:r>
    </w:p>
    <w:p w14:paraId="703F2D25" w14:textId="42B3CED7" w:rsidR="00087AC3" w:rsidRPr="009E3B7E" w:rsidRDefault="00087AC3" w:rsidP="00E80EB4">
      <w:pPr>
        <w:spacing w:line="360" w:lineRule="auto"/>
        <w:rPr>
          <w:rFonts w:ascii="Times New Roman" w:hAnsi="Times New Roman" w:cs="Times New Roman"/>
          <w:sz w:val="24"/>
          <w:szCs w:val="24"/>
        </w:rPr>
      </w:pPr>
    </w:p>
    <w:p w14:paraId="4754621F" w14:textId="35A7CFE0" w:rsidR="00A64F1D" w:rsidRPr="009E3B7E" w:rsidRDefault="00087AC3" w:rsidP="00E80EB4">
      <w:pPr>
        <w:spacing w:line="360" w:lineRule="auto"/>
        <w:rPr>
          <w:rFonts w:ascii="Times New Roman" w:hAnsi="Times New Roman" w:cs="Times New Roman"/>
          <w:sz w:val="24"/>
          <w:szCs w:val="24"/>
        </w:rPr>
      </w:pPr>
      <w:r w:rsidRPr="009E3B7E">
        <w:rPr>
          <w:rFonts w:ascii="Times New Roman" w:hAnsi="Times New Roman" w:cs="Times New Roman"/>
          <w:sz w:val="24"/>
          <w:szCs w:val="24"/>
        </w:rPr>
        <w:t>In many ways</w:t>
      </w:r>
      <w:r w:rsidR="0038317B">
        <w:rPr>
          <w:rFonts w:ascii="Times New Roman" w:hAnsi="Times New Roman" w:cs="Times New Roman"/>
          <w:sz w:val="24"/>
          <w:szCs w:val="24"/>
        </w:rPr>
        <w:t>,</w:t>
      </w:r>
      <w:r w:rsidRPr="009E3B7E">
        <w:rPr>
          <w:rFonts w:ascii="Times New Roman" w:hAnsi="Times New Roman" w:cs="Times New Roman"/>
          <w:sz w:val="24"/>
          <w:szCs w:val="24"/>
        </w:rPr>
        <w:t xml:space="preserve"> heritage is a paradigmatic apparatus of the Anthropocene. Through varied processes of collecting, conserving and storytelling, heritage practice (broadly defined) has come to shape how different communities understand their relationship to the past in the context of capitalist modernity.</w:t>
      </w:r>
      <w:r w:rsidR="00081339" w:rsidRPr="009E3B7E">
        <w:rPr>
          <w:rFonts w:ascii="Times New Roman" w:hAnsi="Times New Roman" w:cs="Times New Roman"/>
          <w:sz w:val="24"/>
          <w:szCs w:val="24"/>
        </w:rPr>
        <w:t xml:space="preserve"> It is increasingly clear </w:t>
      </w:r>
      <w:r w:rsidR="009F0D6A" w:rsidRPr="009E3B7E">
        <w:rPr>
          <w:rFonts w:ascii="Times New Roman" w:hAnsi="Times New Roman" w:cs="Times New Roman"/>
          <w:sz w:val="24"/>
          <w:szCs w:val="24"/>
        </w:rPr>
        <w:t xml:space="preserve">however </w:t>
      </w:r>
      <w:r w:rsidR="00081339" w:rsidRPr="009E3B7E">
        <w:rPr>
          <w:rFonts w:ascii="Times New Roman" w:hAnsi="Times New Roman" w:cs="Times New Roman"/>
          <w:sz w:val="24"/>
          <w:szCs w:val="24"/>
        </w:rPr>
        <w:t xml:space="preserve">that the strategies of preservation, care and stewardship that have emerged under this system need challenging at every turn, especially where they reinforce modes of oppression related to nationalism, </w:t>
      </w:r>
      <w:r w:rsidR="00081339" w:rsidRPr="009E3B7E">
        <w:rPr>
          <w:rFonts w:ascii="Times New Roman" w:hAnsi="Times New Roman" w:cs="Times New Roman"/>
          <w:sz w:val="24"/>
          <w:szCs w:val="24"/>
        </w:rPr>
        <w:lastRenderedPageBreak/>
        <w:t xml:space="preserve">colonialism, militarism and </w:t>
      </w:r>
      <w:proofErr w:type="spellStart"/>
      <w:r w:rsidR="00081339" w:rsidRPr="009E3B7E">
        <w:rPr>
          <w:rFonts w:ascii="Times New Roman" w:hAnsi="Times New Roman" w:cs="Times New Roman"/>
          <w:sz w:val="24"/>
          <w:szCs w:val="24"/>
        </w:rPr>
        <w:t>extractivism</w:t>
      </w:r>
      <w:proofErr w:type="spellEnd"/>
      <w:r w:rsidR="009F0D6A" w:rsidRPr="009E3B7E">
        <w:rPr>
          <w:rFonts w:ascii="Times New Roman" w:hAnsi="Times New Roman" w:cs="Times New Roman"/>
          <w:sz w:val="24"/>
          <w:szCs w:val="24"/>
        </w:rPr>
        <w:t xml:space="preserve">. Inheriting responsibly means recognizing the inequities and injustices that have come to structure the present and will continue to </w:t>
      </w:r>
      <w:r w:rsidR="006B12FF" w:rsidRPr="009E3B7E">
        <w:rPr>
          <w:rFonts w:ascii="Times New Roman" w:hAnsi="Times New Roman" w:cs="Times New Roman"/>
          <w:sz w:val="24"/>
          <w:szCs w:val="24"/>
        </w:rPr>
        <w:t xml:space="preserve">impact </w:t>
      </w:r>
      <w:r w:rsidR="009F0D6A" w:rsidRPr="009E3B7E">
        <w:rPr>
          <w:rFonts w:ascii="Times New Roman" w:hAnsi="Times New Roman" w:cs="Times New Roman"/>
          <w:sz w:val="24"/>
          <w:szCs w:val="24"/>
        </w:rPr>
        <w:t xml:space="preserve">the future without radical change. At the same time, it means questioning the </w:t>
      </w:r>
      <w:r w:rsidR="009F0D6A" w:rsidRPr="009E3B7E">
        <w:rPr>
          <w:rFonts w:ascii="Times New Roman" w:hAnsi="Times New Roman" w:cs="Times New Roman"/>
          <w:i/>
          <w:iCs/>
          <w:sz w:val="24"/>
          <w:szCs w:val="24"/>
        </w:rPr>
        <w:t>work</w:t>
      </w:r>
      <w:r w:rsidR="009F0D6A" w:rsidRPr="009E3B7E">
        <w:rPr>
          <w:rFonts w:ascii="Times New Roman" w:hAnsi="Times New Roman" w:cs="Times New Roman"/>
          <w:sz w:val="24"/>
          <w:szCs w:val="24"/>
        </w:rPr>
        <w:t xml:space="preserve"> of inheritance</w:t>
      </w:r>
      <w:r w:rsidR="006B12FF" w:rsidRPr="009E3B7E">
        <w:rPr>
          <w:rFonts w:ascii="Times New Roman" w:hAnsi="Times New Roman" w:cs="Times New Roman"/>
          <w:sz w:val="24"/>
          <w:szCs w:val="24"/>
        </w:rPr>
        <w:t xml:space="preserve"> across </w:t>
      </w:r>
      <w:r w:rsidR="00A95F51" w:rsidRPr="009E3B7E">
        <w:rPr>
          <w:rFonts w:ascii="Times New Roman" w:hAnsi="Times New Roman" w:cs="Times New Roman"/>
          <w:sz w:val="24"/>
          <w:szCs w:val="24"/>
        </w:rPr>
        <w:t xml:space="preserve">human and non-human worlds. </w:t>
      </w:r>
      <w:r w:rsidR="005C3E22" w:rsidRPr="009E3B7E">
        <w:rPr>
          <w:rFonts w:ascii="Times New Roman" w:hAnsi="Times New Roman" w:cs="Times New Roman"/>
          <w:sz w:val="24"/>
          <w:szCs w:val="24"/>
        </w:rPr>
        <w:t xml:space="preserve">Given the </w:t>
      </w:r>
      <w:r w:rsidR="00A95F51" w:rsidRPr="009E3B7E">
        <w:rPr>
          <w:rFonts w:ascii="Times New Roman" w:hAnsi="Times New Roman" w:cs="Times New Roman"/>
          <w:sz w:val="24"/>
          <w:szCs w:val="24"/>
        </w:rPr>
        <w:t>central role heritage has come to play in defining this work, critical and creative approaches</w:t>
      </w:r>
      <w:r w:rsidR="006B12FF" w:rsidRPr="009E3B7E">
        <w:rPr>
          <w:rFonts w:ascii="Times New Roman" w:hAnsi="Times New Roman" w:cs="Times New Roman"/>
          <w:sz w:val="24"/>
          <w:szCs w:val="24"/>
        </w:rPr>
        <w:t xml:space="preserve"> within </w:t>
      </w:r>
      <w:r w:rsidR="00C246DD" w:rsidRPr="009E3B7E">
        <w:rPr>
          <w:rFonts w:ascii="Times New Roman" w:hAnsi="Times New Roman" w:cs="Times New Roman"/>
          <w:sz w:val="24"/>
          <w:szCs w:val="24"/>
        </w:rPr>
        <w:t>this</w:t>
      </w:r>
      <w:r w:rsidR="00A95F51" w:rsidRPr="009E3B7E">
        <w:rPr>
          <w:rFonts w:ascii="Times New Roman" w:hAnsi="Times New Roman" w:cs="Times New Roman"/>
          <w:sz w:val="24"/>
          <w:szCs w:val="24"/>
        </w:rPr>
        <w:t xml:space="preserve"> field </w:t>
      </w:r>
      <w:r w:rsidR="006B12FF" w:rsidRPr="009E3B7E">
        <w:rPr>
          <w:rFonts w:ascii="Times New Roman" w:hAnsi="Times New Roman" w:cs="Times New Roman"/>
          <w:sz w:val="24"/>
          <w:szCs w:val="24"/>
        </w:rPr>
        <w:t xml:space="preserve">now have the potential to resonate </w:t>
      </w:r>
      <w:r w:rsidR="00A95F51" w:rsidRPr="009E3B7E">
        <w:rPr>
          <w:rFonts w:ascii="Times New Roman" w:hAnsi="Times New Roman" w:cs="Times New Roman"/>
          <w:sz w:val="24"/>
          <w:szCs w:val="24"/>
        </w:rPr>
        <w:t xml:space="preserve">far beyond </w:t>
      </w:r>
      <w:r w:rsidR="006B12FF" w:rsidRPr="009E3B7E">
        <w:rPr>
          <w:rFonts w:ascii="Times New Roman" w:hAnsi="Times New Roman" w:cs="Times New Roman"/>
          <w:sz w:val="24"/>
          <w:szCs w:val="24"/>
        </w:rPr>
        <w:t>familiar</w:t>
      </w:r>
      <w:r w:rsidR="00A95F51" w:rsidRPr="009E3B7E">
        <w:rPr>
          <w:rFonts w:ascii="Times New Roman" w:hAnsi="Times New Roman" w:cs="Times New Roman"/>
          <w:sz w:val="24"/>
          <w:szCs w:val="24"/>
        </w:rPr>
        <w:t xml:space="preserve"> </w:t>
      </w:r>
      <w:r w:rsidR="006B12FF" w:rsidRPr="009E3B7E">
        <w:rPr>
          <w:rFonts w:ascii="Times New Roman" w:hAnsi="Times New Roman" w:cs="Times New Roman"/>
          <w:sz w:val="24"/>
          <w:szCs w:val="24"/>
        </w:rPr>
        <w:t xml:space="preserve">disciplinary boundaries. </w:t>
      </w:r>
    </w:p>
    <w:p w14:paraId="13EBAF2D" w14:textId="6DDC768D" w:rsidR="009F0D6A" w:rsidRPr="0038317B" w:rsidRDefault="009F0D6A">
      <w:pPr>
        <w:rPr>
          <w:rFonts w:ascii="Times New Roman" w:hAnsi="Times New Roman" w:cs="Times New Roman"/>
          <w:b/>
          <w:bCs/>
          <w:sz w:val="24"/>
          <w:szCs w:val="24"/>
        </w:rPr>
      </w:pPr>
      <w:r w:rsidRPr="009E3B7E">
        <w:rPr>
          <w:rFonts w:ascii="Times New Roman" w:hAnsi="Times New Roman" w:cs="Times New Roman"/>
          <w:sz w:val="24"/>
          <w:szCs w:val="24"/>
        </w:rPr>
        <w:br w:type="page"/>
      </w:r>
      <w:r w:rsidR="0038317B" w:rsidRPr="0038317B">
        <w:rPr>
          <w:rFonts w:ascii="Times New Roman" w:hAnsi="Times New Roman" w:cs="Times New Roman"/>
          <w:b/>
          <w:bCs/>
          <w:sz w:val="24"/>
          <w:szCs w:val="24"/>
        </w:rPr>
        <w:lastRenderedPageBreak/>
        <w:t>Endnotes</w:t>
      </w:r>
    </w:p>
    <w:sectPr w:rsidR="009F0D6A" w:rsidRPr="0038317B" w:rsidSect="005C5933">
      <w:footerReference w:type="even" r:id="rId6"/>
      <w:footerReference w:type="default" r:id="rId7"/>
      <w:endnotePr>
        <w:numFmt w:val="decimal"/>
      </w:endnotePr>
      <w:pgSz w:w="11900" w:h="16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0A8A2" w14:textId="77777777" w:rsidR="00BF4985" w:rsidRDefault="00BF4985" w:rsidP="00F47C57">
      <w:pPr>
        <w:spacing w:line="240" w:lineRule="auto"/>
      </w:pPr>
      <w:r>
        <w:separator/>
      </w:r>
    </w:p>
  </w:endnote>
  <w:endnote w:type="continuationSeparator" w:id="0">
    <w:p w14:paraId="084DCD5A" w14:textId="77777777" w:rsidR="00BF4985" w:rsidRDefault="00BF4985" w:rsidP="00F47C57">
      <w:pPr>
        <w:spacing w:line="240" w:lineRule="auto"/>
      </w:pPr>
      <w:r>
        <w:continuationSeparator/>
      </w:r>
    </w:p>
  </w:endnote>
  <w:endnote w:id="1">
    <w:p w14:paraId="6C4D9811" w14:textId="77777777" w:rsidR="0038317B" w:rsidRPr="004F383A" w:rsidRDefault="0038317B" w:rsidP="00343BBA">
      <w:pPr>
        <w:pStyle w:val="EndnoteText"/>
        <w:contextualSpacing/>
        <w:rPr>
          <w:rFonts w:ascii="Times" w:hAnsi="Times" w:cs="Times New Roman"/>
          <w:color w:val="1155CC"/>
          <w:sz w:val="24"/>
          <w:szCs w:val="24"/>
          <w:u w:val="single"/>
        </w:rPr>
      </w:pPr>
      <w:r w:rsidRPr="004F383A">
        <w:rPr>
          <w:rFonts w:ascii="Times" w:hAnsi="Times" w:cs="Times New Roman"/>
          <w:sz w:val="24"/>
          <w:szCs w:val="24"/>
        </w:rPr>
        <w:t xml:space="preserve">This essay is an edited version of the introduction to </w:t>
      </w:r>
      <w:proofErr w:type="spellStart"/>
      <w:r w:rsidRPr="004F383A">
        <w:rPr>
          <w:rFonts w:ascii="Times" w:hAnsi="Times" w:cs="Times New Roman"/>
          <w:i/>
          <w:sz w:val="24"/>
          <w:szCs w:val="24"/>
        </w:rPr>
        <w:t>Deterritorializing</w:t>
      </w:r>
      <w:proofErr w:type="spellEnd"/>
      <w:r w:rsidRPr="004F383A">
        <w:rPr>
          <w:rFonts w:ascii="Times" w:hAnsi="Times" w:cs="Times New Roman"/>
          <w:i/>
          <w:sz w:val="24"/>
          <w:szCs w:val="24"/>
        </w:rPr>
        <w:t xml:space="preserve"> the Future: Heritage in, of and after the Anthropocene</w:t>
      </w:r>
      <w:r w:rsidRPr="004F383A">
        <w:rPr>
          <w:rFonts w:ascii="Times" w:hAnsi="Times" w:cs="Times New Roman"/>
          <w:sz w:val="24"/>
          <w:szCs w:val="24"/>
        </w:rPr>
        <w:t xml:space="preserve">, edited by Rodney Harrison and Colin Sterling and first published by Open Humanities Press in its Critical Climate Change series in 2020. The original version of this piece, and the rest of the book, is available to download for free in Open Access at </w:t>
      </w:r>
      <w:hyperlink r:id="rId1">
        <w:r w:rsidRPr="004F383A">
          <w:rPr>
            <w:rFonts w:ascii="Times" w:hAnsi="Times" w:cs="Times New Roman"/>
            <w:color w:val="1155CC"/>
            <w:sz w:val="24"/>
            <w:szCs w:val="24"/>
            <w:u w:val="single"/>
          </w:rPr>
          <w:t>http://www.openhumanitiespress.org/books/titles/deterritorializing-the-future/</w:t>
        </w:r>
      </w:hyperlink>
    </w:p>
    <w:p w14:paraId="656FDF6D" w14:textId="2CA90C67" w:rsidR="00A44B30" w:rsidRPr="004F383A" w:rsidRDefault="00A44B30" w:rsidP="00343BBA">
      <w:pPr>
        <w:pStyle w:val="EndnoteText"/>
        <w:contextualSpacing/>
        <w:rPr>
          <w:rFonts w:ascii="Times" w:hAnsi="Times" w:cs="Times New Roman"/>
          <w:sz w:val="24"/>
          <w:szCs w:val="24"/>
        </w:rPr>
      </w:pPr>
      <w:r w:rsidRPr="004F383A">
        <w:rPr>
          <w:rStyle w:val="EndnoteReference"/>
          <w:rFonts w:ascii="Times" w:hAnsi="Times"/>
          <w:sz w:val="24"/>
          <w:szCs w:val="24"/>
        </w:rPr>
        <w:endnoteRef/>
      </w:r>
      <w:r w:rsidRPr="004F383A">
        <w:rPr>
          <w:rFonts w:ascii="Times" w:hAnsi="Times"/>
          <w:sz w:val="24"/>
          <w:szCs w:val="24"/>
        </w:rPr>
        <w:t xml:space="preserve"> </w:t>
      </w:r>
      <w:r w:rsidRPr="004F383A">
        <w:rPr>
          <w:rFonts w:ascii="Times" w:hAnsi="Times" w:cs="Times New Roman"/>
          <w:sz w:val="24"/>
          <w:szCs w:val="24"/>
        </w:rPr>
        <w:t xml:space="preserve">Thom van Dooren, “Life at the Edge of Extinction: Spectral Crows, Haunted Landscapes and the Environmental Humanities,” </w:t>
      </w:r>
      <w:r w:rsidRPr="004F383A">
        <w:rPr>
          <w:rFonts w:ascii="Times" w:hAnsi="Times" w:cs="Times New Roman"/>
          <w:i/>
          <w:sz w:val="24"/>
          <w:szCs w:val="24"/>
        </w:rPr>
        <w:t xml:space="preserve">Humanities Australia </w:t>
      </w:r>
      <w:r w:rsidRPr="004F383A">
        <w:rPr>
          <w:rFonts w:ascii="Times" w:hAnsi="Times" w:cs="Times New Roman"/>
          <w:sz w:val="24"/>
          <w:szCs w:val="24"/>
        </w:rPr>
        <w:t xml:space="preserve">5 (2014): 8–22, 11. </w:t>
      </w:r>
    </w:p>
  </w:endnote>
  <w:endnote w:id="2">
    <w:p w14:paraId="336F809A" w14:textId="69DDCCBC" w:rsidR="00A44B30" w:rsidRPr="004F383A" w:rsidRDefault="00A44B30" w:rsidP="00343BBA">
      <w:pPr>
        <w:pStyle w:val="EndnoteText"/>
        <w:contextualSpacing/>
        <w:rPr>
          <w:rFonts w:ascii="Times" w:hAnsi="Times"/>
          <w:sz w:val="24"/>
          <w:szCs w:val="24"/>
          <w:lang w:val="en-US"/>
        </w:rPr>
      </w:pPr>
      <w:r w:rsidRPr="004F383A">
        <w:rPr>
          <w:rStyle w:val="EndnoteReference"/>
          <w:rFonts w:ascii="Times" w:hAnsi="Times"/>
          <w:sz w:val="24"/>
          <w:szCs w:val="24"/>
        </w:rPr>
        <w:endnoteRef/>
      </w:r>
      <w:r w:rsidRPr="004F383A">
        <w:rPr>
          <w:rFonts w:ascii="Times" w:hAnsi="Times"/>
          <w:sz w:val="24"/>
          <w:szCs w:val="24"/>
        </w:rPr>
        <w:t xml:space="preserve"> Nora in Paul </w:t>
      </w:r>
      <w:proofErr w:type="spellStart"/>
      <w:r w:rsidRPr="004F383A">
        <w:rPr>
          <w:rFonts w:ascii="Times" w:hAnsi="Times"/>
          <w:sz w:val="24"/>
          <w:szCs w:val="24"/>
        </w:rPr>
        <w:t>Ricoeur</w:t>
      </w:r>
      <w:proofErr w:type="spellEnd"/>
      <w:r w:rsidRPr="004F383A">
        <w:rPr>
          <w:rFonts w:ascii="Times" w:hAnsi="Times"/>
          <w:sz w:val="24"/>
          <w:szCs w:val="24"/>
        </w:rPr>
        <w:t xml:space="preserve">, </w:t>
      </w:r>
      <w:r w:rsidRPr="004F383A">
        <w:rPr>
          <w:rFonts w:ascii="Times" w:hAnsi="Times"/>
          <w:i/>
          <w:iCs/>
          <w:sz w:val="24"/>
          <w:szCs w:val="24"/>
        </w:rPr>
        <w:t>Memory, History, Forgetting</w:t>
      </w:r>
      <w:r w:rsidRPr="004F383A">
        <w:rPr>
          <w:rFonts w:ascii="Times" w:hAnsi="Times"/>
          <w:sz w:val="24"/>
          <w:szCs w:val="24"/>
        </w:rPr>
        <w:t xml:space="preserve">, trans. by K. Blamey and D. </w:t>
      </w:r>
      <w:proofErr w:type="spellStart"/>
      <w:r w:rsidRPr="004F383A">
        <w:rPr>
          <w:rFonts w:ascii="Times" w:hAnsi="Times"/>
          <w:sz w:val="24"/>
          <w:szCs w:val="24"/>
        </w:rPr>
        <w:t>Pellauer</w:t>
      </w:r>
      <w:proofErr w:type="spellEnd"/>
      <w:r w:rsidRPr="004F383A">
        <w:rPr>
          <w:rFonts w:ascii="Times" w:hAnsi="Times"/>
          <w:sz w:val="24"/>
          <w:szCs w:val="24"/>
        </w:rPr>
        <w:t xml:space="preserve"> (London &amp; Chicago: The University of Chicago Press, 2006)</w:t>
      </w:r>
      <w:r w:rsidR="00CE1123" w:rsidRPr="004F383A">
        <w:rPr>
          <w:rFonts w:ascii="Times" w:hAnsi="Times"/>
          <w:sz w:val="24"/>
          <w:szCs w:val="24"/>
        </w:rPr>
        <w:t>,</w:t>
      </w:r>
      <w:r w:rsidRPr="004F383A">
        <w:rPr>
          <w:rFonts w:ascii="Times" w:hAnsi="Times"/>
          <w:sz w:val="24"/>
          <w:szCs w:val="24"/>
        </w:rPr>
        <w:t xml:space="preserve"> 410</w:t>
      </w:r>
      <w:r w:rsidR="00CE1123" w:rsidRPr="004F383A">
        <w:rPr>
          <w:rFonts w:ascii="Times" w:hAnsi="Times"/>
          <w:sz w:val="24"/>
          <w:szCs w:val="24"/>
        </w:rPr>
        <w:t>.</w:t>
      </w:r>
    </w:p>
  </w:endnote>
  <w:endnote w:id="3">
    <w:p w14:paraId="235FDC5A" w14:textId="2F651116" w:rsidR="00CE1123" w:rsidRPr="004F383A" w:rsidRDefault="00CE1123" w:rsidP="00343BBA">
      <w:pPr>
        <w:spacing w:line="240" w:lineRule="auto"/>
        <w:contextualSpacing/>
        <w:rPr>
          <w:rFonts w:ascii="Times" w:hAnsi="Times" w:cs="Times New Roman"/>
          <w:sz w:val="24"/>
          <w:szCs w:val="24"/>
        </w:rPr>
      </w:pPr>
      <w:r w:rsidRPr="004F383A">
        <w:rPr>
          <w:rStyle w:val="EndnoteReference"/>
          <w:rFonts w:ascii="Times" w:hAnsi="Times"/>
          <w:sz w:val="24"/>
          <w:szCs w:val="24"/>
        </w:rPr>
        <w:endnoteRef/>
      </w:r>
      <w:r w:rsidRPr="004F383A">
        <w:rPr>
          <w:rFonts w:ascii="Times" w:hAnsi="Times"/>
          <w:sz w:val="24"/>
          <w:szCs w:val="24"/>
        </w:rPr>
        <w:t xml:space="preserve"> Jacques </w:t>
      </w:r>
      <w:r w:rsidRPr="004F383A">
        <w:rPr>
          <w:rFonts w:ascii="Times" w:hAnsi="Times" w:cs="Times New Roman"/>
          <w:sz w:val="24"/>
          <w:szCs w:val="24"/>
        </w:rPr>
        <w:t xml:space="preserve">Derrida, </w:t>
      </w:r>
      <w:r w:rsidRPr="004F383A">
        <w:rPr>
          <w:rFonts w:ascii="Times" w:hAnsi="Times" w:cs="Times New Roman"/>
          <w:i/>
          <w:iCs/>
          <w:sz w:val="24"/>
          <w:szCs w:val="24"/>
        </w:rPr>
        <w:t>Specters of Marx: The State of the Debt, the Work of Mourning, &amp; the New International</w:t>
      </w:r>
      <w:r w:rsidRPr="004F383A">
        <w:rPr>
          <w:rFonts w:ascii="Times" w:hAnsi="Times" w:cs="Times New Roman"/>
          <w:sz w:val="24"/>
          <w:szCs w:val="24"/>
        </w:rPr>
        <w:t xml:space="preserve"> (New York: Routledge, 1994), 54.</w:t>
      </w:r>
    </w:p>
  </w:endnote>
  <w:endnote w:id="4">
    <w:p w14:paraId="67FEE72A" w14:textId="07AF0B76" w:rsidR="00CE1123" w:rsidRPr="004F383A" w:rsidRDefault="00CE1123" w:rsidP="00343BBA">
      <w:pPr>
        <w:pStyle w:val="EndnoteText"/>
        <w:contextualSpacing/>
        <w:rPr>
          <w:rFonts w:ascii="Times" w:hAnsi="Times"/>
          <w:sz w:val="24"/>
          <w:szCs w:val="24"/>
          <w:lang w:val="en-US"/>
        </w:rPr>
      </w:pPr>
      <w:r w:rsidRPr="004F383A">
        <w:rPr>
          <w:rStyle w:val="EndnoteReference"/>
          <w:rFonts w:ascii="Times" w:hAnsi="Times"/>
          <w:sz w:val="24"/>
          <w:szCs w:val="24"/>
        </w:rPr>
        <w:endnoteRef/>
      </w:r>
      <w:r w:rsidRPr="004F383A">
        <w:rPr>
          <w:rFonts w:ascii="Times" w:hAnsi="Times"/>
          <w:sz w:val="24"/>
          <w:szCs w:val="24"/>
        </w:rPr>
        <w:t xml:space="preserve"> </w:t>
      </w:r>
      <w:r w:rsidRPr="004F383A">
        <w:rPr>
          <w:rFonts w:ascii="Times" w:hAnsi="Times"/>
          <w:sz w:val="24"/>
          <w:szCs w:val="24"/>
          <w:lang w:val="en-US"/>
        </w:rPr>
        <w:t>Ibid.</w:t>
      </w:r>
    </w:p>
  </w:endnote>
  <w:endnote w:id="5">
    <w:p w14:paraId="18B67F21" w14:textId="21713FCF" w:rsidR="00CE1123" w:rsidRPr="004F383A" w:rsidRDefault="00CE1123" w:rsidP="00343BBA">
      <w:pPr>
        <w:pStyle w:val="EndnoteText"/>
        <w:contextualSpacing/>
        <w:rPr>
          <w:rFonts w:ascii="Times" w:hAnsi="Times" w:cs="Times New Roman"/>
          <w:sz w:val="24"/>
          <w:szCs w:val="24"/>
        </w:rPr>
      </w:pPr>
      <w:r w:rsidRPr="004F383A">
        <w:rPr>
          <w:rStyle w:val="EndnoteReference"/>
          <w:rFonts w:ascii="Times" w:hAnsi="Times"/>
          <w:sz w:val="24"/>
          <w:szCs w:val="24"/>
        </w:rPr>
        <w:endnoteRef/>
      </w:r>
      <w:r w:rsidRPr="004F383A">
        <w:rPr>
          <w:rFonts w:ascii="Times" w:hAnsi="Times"/>
          <w:sz w:val="24"/>
          <w:szCs w:val="24"/>
        </w:rPr>
        <w:t xml:space="preserve"> </w:t>
      </w:r>
      <w:r w:rsidR="007F7EEB" w:rsidRPr="004F383A">
        <w:rPr>
          <w:rFonts w:ascii="Times" w:hAnsi="Times" w:cs="Times New Roman"/>
          <w:sz w:val="24"/>
          <w:szCs w:val="24"/>
        </w:rPr>
        <w:t xml:space="preserve">Eric Hobsbawm and Terence Ranger </w:t>
      </w:r>
      <w:r w:rsidRPr="004F383A">
        <w:rPr>
          <w:rFonts w:ascii="Times" w:hAnsi="Times" w:cs="Times New Roman"/>
          <w:sz w:val="24"/>
          <w:szCs w:val="24"/>
        </w:rPr>
        <w:t>(eds)</w:t>
      </w:r>
      <w:r w:rsidR="007F7EEB" w:rsidRPr="004F383A">
        <w:rPr>
          <w:rFonts w:ascii="Times" w:hAnsi="Times" w:cs="Times New Roman"/>
          <w:sz w:val="24"/>
          <w:szCs w:val="24"/>
        </w:rPr>
        <w:t xml:space="preserve">, </w:t>
      </w:r>
      <w:r w:rsidRPr="004F383A">
        <w:rPr>
          <w:rFonts w:ascii="Times" w:hAnsi="Times" w:cs="Times New Roman"/>
          <w:i/>
          <w:iCs/>
          <w:sz w:val="24"/>
          <w:szCs w:val="24"/>
        </w:rPr>
        <w:t>The Invention of Tradition</w:t>
      </w:r>
      <w:r w:rsidR="007F7EEB" w:rsidRPr="004F383A">
        <w:rPr>
          <w:rFonts w:ascii="Times" w:hAnsi="Times" w:cs="Times New Roman"/>
          <w:sz w:val="24"/>
          <w:szCs w:val="24"/>
        </w:rPr>
        <w:t xml:space="preserve"> (</w:t>
      </w:r>
      <w:r w:rsidRPr="004F383A">
        <w:rPr>
          <w:rFonts w:ascii="Times" w:hAnsi="Times" w:cs="Times New Roman"/>
          <w:sz w:val="24"/>
          <w:szCs w:val="24"/>
        </w:rPr>
        <w:t>Cambridge: Cambridge University Press</w:t>
      </w:r>
      <w:r w:rsidR="007F7EEB" w:rsidRPr="004F383A">
        <w:rPr>
          <w:rFonts w:ascii="Times" w:hAnsi="Times" w:cs="Times New Roman"/>
          <w:sz w:val="24"/>
          <w:szCs w:val="24"/>
        </w:rPr>
        <w:t xml:space="preserve">, 1983). </w:t>
      </w:r>
    </w:p>
  </w:endnote>
  <w:endnote w:id="6">
    <w:p w14:paraId="5D627A4A" w14:textId="30F964FE" w:rsidR="00F31CFD" w:rsidRPr="004F383A" w:rsidRDefault="00F31CFD" w:rsidP="00F31CFD">
      <w:pPr>
        <w:spacing w:line="240" w:lineRule="auto"/>
        <w:contextualSpacing/>
        <w:rPr>
          <w:rFonts w:ascii="Times" w:hAnsi="Times" w:cs="Times New Roman"/>
          <w:sz w:val="24"/>
          <w:szCs w:val="24"/>
        </w:rPr>
      </w:pPr>
      <w:r w:rsidRPr="004F383A">
        <w:rPr>
          <w:rStyle w:val="EndnoteReference"/>
          <w:rFonts w:ascii="Times" w:hAnsi="Times"/>
          <w:sz w:val="24"/>
          <w:szCs w:val="24"/>
        </w:rPr>
        <w:endnoteRef/>
      </w:r>
      <w:r w:rsidRPr="004F383A">
        <w:rPr>
          <w:rFonts w:ascii="Times" w:hAnsi="Times"/>
          <w:sz w:val="24"/>
          <w:szCs w:val="24"/>
        </w:rPr>
        <w:t xml:space="preserve"> See, for example, </w:t>
      </w:r>
      <w:proofErr w:type="spellStart"/>
      <w:r w:rsidRPr="004F383A">
        <w:rPr>
          <w:rFonts w:ascii="Times" w:hAnsi="Times"/>
          <w:sz w:val="24"/>
          <w:szCs w:val="24"/>
        </w:rPr>
        <w:t>Laurajane</w:t>
      </w:r>
      <w:proofErr w:type="spellEnd"/>
      <w:r w:rsidRPr="004F383A">
        <w:rPr>
          <w:rFonts w:ascii="Times" w:hAnsi="Times"/>
          <w:sz w:val="24"/>
          <w:szCs w:val="24"/>
        </w:rPr>
        <w:t xml:space="preserve"> </w:t>
      </w:r>
      <w:r w:rsidRPr="004F383A">
        <w:rPr>
          <w:rFonts w:ascii="Times" w:hAnsi="Times" w:cs="Times New Roman"/>
          <w:sz w:val="24"/>
          <w:szCs w:val="24"/>
        </w:rPr>
        <w:t xml:space="preserve">Smith, </w:t>
      </w:r>
      <w:r w:rsidRPr="004F383A">
        <w:rPr>
          <w:rFonts w:ascii="Times" w:hAnsi="Times" w:cs="Times New Roman"/>
          <w:i/>
          <w:sz w:val="24"/>
          <w:szCs w:val="24"/>
        </w:rPr>
        <w:t>Uses of Heritage</w:t>
      </w:r>
      <w:r w:rsidRPr="004F383A">
        <w:rPr>
          <w:rFonts w:ascii="Times" w:hAnsi="Times" w:cs="Times New Roman"/>
          <w:sz w:val="24"/>
          <w:szCs w:val="24"/>
        </w:rPr>
        <w:t xml:space="preserve"> (London: Routledge, 2006); Rodney Harrison, </w:t>
      </w:r>
      <w:r w:rsidRPr="004F383A">
        <w:rPr>
          <w:rFonts w:ascii="Times" w:hAnsi="Times" w:cs="Times New Roman"/>
          <w:i/>
          <w:sz w:val="24"/>
          <w:szCs w:val="24"/>
        </w:rPr>
        <w:t>Heritage: Critical Approaches</w:t>
      </w:r>
      <w:r w:rsidRPr="004F383A">
        <w:rPr>
          <w:rFonts w:ascii="Times" w:hAnsi="Times" w:cs="Times New Roman"/>
          <w:sz w:val="24"/>
          <w:szCs w:val="24"/>
        </w:rPr>
        <w:t xml:space="preserve"> (London &amp; New York: Routledge, 2013); Divya P. Tolia-Kelly, Emma Waterton and Steve Watson (eds). </w:t>
      </w:r>
      <w:r w:rsidRPr="004F383A">
        <w:rPr>
          <w:rFonts w:ascii="Times" w:hAnsi="Times" w:cs="Times New Roman"/>
          <w:i/>
          <w:sz w:val="24"/>
          <w:szCs w:val="24"/>
        </w:rPr>
        <w:t>Heritage, Affect and Emotion: Politics, practices and infrastructures</w:t>
      </w:r>
      <w:r w:rsidRPr="004F383A">
        <w:rPr>
          <w:rFonts w:ascii="Times" w:hAnsi="Times" w:cs="Times New Roman"/>
          <w:sz w:val="24"/>
          <w:szCs w:val="24"/>
        </w:rPr>
        <w:t xml:space="preserve"> (Abingdon and New York: Routledge, 2016).</w:t>
      </w:r>
    </w:p>
  </w:endnote>
  <w:endnote w:id="7">
    <w:p w14:paraId="7ACC2F80" w14:textId="21B18EA3" w:rsidR="004F383A" w:rsidRPr="004F383A" w:rsidRDefault="004F383A">
      <w:pPr>
        <w:pStyle w:val="EndnoteText"/>
        <w:rPr>
          <w:rFonts w:ascii="Times" w:hAnsi="Times"/>
          <w:sz w:val="24"/>
          <w:szCs w:val="24"/>
          <w:lang w:val="en-US"/>
        </w:rPr>
      </w:pPr>
      <w:r w:rsidRPr="004F383A">
        <w:rPr>
          <w:rStyle w:val="EndnoteReference"/>
          <w:rFonts w:ascii="Times" w:hAnsi="Times"/>
          <w:sz w:val="24"/>
          <w:szCs w:val="24"/>
        </w:rPr>
        <w:endnoteRef/>
      </w:r>
      <w:r w:rsidRPr="004F383A">
        <w:rPr>
          <w:rFonts w:ascii="Times" w:hAnsi="Times"/>
          <w:sz w:val="24"/>
          <w:szCs w:val="24"/>
        </w:rPr>
        <w:t xml:space="preserve"> Rodney Harrison, Caitlin DeSilvey, Cornelius Holtorf, Sharon Macdonald, Nadia Bartolini, Esther Breithoff, Harald Fredheim, et al. </w:t>
      </w:r>
      <w:r w:rsidRPr="004F383A">
        <w:rPr>
          <w:rFonts w:ascii="Times" w:hAnsi="Times" w:cs="Times New Roman"/>
          <w:i/>
          <w:sz w:val="24"/>
          <w:szCs w:val="24"/>
        </w:rPr>
        <w:t xml:space="preserve">Heritage Futures: Comparative Approaches to Natural and Cultural Heritage Practices </w:t>
      </w:r>
      <w:r w:rsidRPr="004F383A">
        <w:rPr>
          <w:rFonts w:ascii="Times" w:hAnsi="Times" w:cs="Times New Roman"/>
          <w:iCs/>
          <w:sz w:val="24"/>
          <w:szCs w:val="24"/>
        </w:rPr>
        <w:t>(</w:t>
      </w:r>
      <w:r w:rsidRPr="004F383A">
        <w:rPr>
          <w:rFonts w:ascii="Times" w:hAnsi="Times" w:cs="Times New Roman"/>
          <w:sz w:val="24"/>
          <w:szCs w:val="24"/>
        </w:rPr>
        <w:t>London: UCL Press, 2020).</w:t>
      </w:r>
    </w:p>
  </w:endnote>
  <w:endnote w:id="8">
    <w:p w14:paraId="0FA386C4" w14:textId="758A8DFA" w:rsidR="00D35B61" w:rsidRPr="004F383A" w:rsidRDefault="00D35B61" w:rsidP="00343BBA">
      <w:pPr>
        <w:pStyle w:val="EndnoteText"/>
        <w:contextualSpacing/>
        <w:rPr>
          <w:rFonts w:ascii="Times" w:hAnsi="Times"/>
          <w:sz w:val="24"/>
          <w:szCs w:val="24"/>
        </w:rPr>
      </w:pPr>
      <w:r w:rsidRPr="004F383A">
        <w:rPr>
          <w:rStyle w:val="EndnoteReference"/>
          <w:rFonts w:ascii="Times" w:hAnsi="Times"/>
          <w:sz w:val="24"/>
          <w:szCs w:val="24"/>
        </w:rPr>
        <w:endnoteRef/>
      </w:r>
      <w:r w:rsidRPr="004F383A">
        <w:rPr>
          <w:rFonts w:ascii="Times" w:hAnsi="Times"/>
          <w:sz w:val="24"/>
          <w:szCs w:val="24"/>
        </w:rPr>
        <w:t xml:space="preserve"> Brit Solli et al. “Some Reflections on Heritage and Archaeology in the Anthropocene,” </w:t>
      </w:r>
      <w:r w:rsidRPr="004F383A">
        <w:rPr>
          <w:rFonts w:ascii="Times" w:hAnsi="Times"/>
          <w:i/>
          <w:iCs/>
          <w:sz w:val="24"/>
          <w:szCs w:val="24"/>
        </w:rPr>
        <w:t>Norwegian Archaeological Review</w:t>
      </w:r>
      <w:r w:rsidRPr="004F383A">
        <w:rPr>
          <w:rFonts w:ascii="Times" w:hAnsi="Times"/>
          <w:sz w:val="24"/>
          <w:szCs w:val="24"/>
        </w:rPr>
        <w:t xml:space="preserve">, Vol. 44, No. 1 (2011); 40–88; Matt Edgeworth et al. “Archaeology of the Anthropocene,” </w:t>
      </w:r>
      <w:r w:rsidRPr="004F383A">
        <w:rPr>
          <w:rFonts w:ascii="Times" w:hAnsi="Times"/>
          <w:i/>
          <w:iCs/>
          <w:sz w:val="24"/>
          <w:szCs w:val="24"/>
        </w:rPr>
        <w:t>Journal of Contemporary Archaeology</w:t>
      </w:r>
      <w:r w:rsidRPr="004F383A">
        <w:rPr>
          <w:rFonts w:ascii="Times" w:hAnsi="Times"/>
          <w:sz w:val="24"/>
          <w:szCs w:val="24"/>
        </w:rPr>
        <w:t xml:space="preserve"> Vol.1 No.1 (2014), 73–132; Rodney </w:t>
      </w:r>
      <w:r w:rsidRPr="00D35B61">
        <w:rPr>
          <w:rFonts w:ascii="Times" w:hAnsi="Times"/>
          <w:sz w:val="24"/>
          <w:szCs w:val="24"/>
        </w:rPr>
        <w:t xml:space="preserve">Harrison, </w:t>
      </w:r>
      <w:r w:rsidRPr="004F383A">
        <w:rPr>
          <w:rFonts w:ascii="Times" w:hAnsi="Times"/>
          <w:sz w:val="24"/>
          <w:szCs w:val="24"/>
        </w:rPr>
        <w:t>“</w:t>
      </w:r>
      <w:r w:rsidRPr="00D35B61">
        <w:rPr>
          <w:rFonts w:ascii="Times" w:hAnsi="Times"/>
          <w:sz w:val="24"/>
          <w:szCs w:val="24"/>
        </w:rPr>
        <w:t>Beyond ‘Natural’ and ‘Cultural’ Heritage: Toward an Ontological Politics of Heritage in the Age of Anthropocene</w:t>
      </w:r>
      <w:r w:rsidRPr="004F383A">
        <w:rPr>
          <w:rFonts w:ascii="Times" w:hAnsi="Times"/>
          <w:sz w:val="24"/>
          <w:szCs w:val="24"/>
        </w:rPr>
        <w:t>,”</w:t>
      </w:r>
      <w:r w:rsidRPr="00D35B61">
        <w:rPr>
          <w:rFonts w:ascii="Times" w:hAnsi="Times"/>
          <w:sz w:val="24"/>
          <w:szCs w:val="24"/>
        </w:rPr>
        <w:t xml:space="preserve"> </w:t>
      </w:r>
      <w:r w:rsidRPr="00D35B61">
        <w:rPr>
          <w:rFonts w:ascii="Times" w:hAnsi="Times"/>
          <w:i/>
          <w:sz w:val="24"/>
          <w:szCs w:val="24"/>
        </w:rPr>
        <w:t>Heritage and Society</w:t>
      </w:r>
      <w:r w:rsidRPr="00D35B61">
        <w:rPr>
          <w:rFonts w:ascii="Times" w:hAnsi="Times"/>
          <w:sz w:val="24"/>
          <w:szCs w:val="24"/>
        </w:rPr>
        <w:t xml:space="preserve"> </w:t>
      </w:r>
      <w:r w:rsidRPr="004F383A">
        <w:rPr>
          <w:rFonts w:ascii="Times" w:hAnsi="Times"/>
          <w:sz w:val="24"/>
          <w:szCs w:val="24"/>
        </w:rPr>
        <w:t xml:space="preserve">Vol. </w:t>
      </w:r>
      <w:r w:rsidRPr="00D35B61">
        <w:rPr>
          <w:rFonts w:ascii="Times" w:hAnsi="Times"/>
          <w:sz w:val="24"/>
          <w:szCs w:val="24"/>
        </w:rPr>
        <w:t>8</w:t>
      </w:r>
      <w:r w:rsidRPr="004F383A">
        <w:rPr>
          <w:rFonts w:ascii="Times" w:hAnsi="Times"/>
          <w:sz w:val="24"/>
          <w:szCs w:val="24"/>
        </w:rPr>
        <w:t xml:space="preserve"> No. </w:t>
      </w:r>
      <w:r w:rsidRPr="00D35B61">
        <w:rPr>
          <w:rFonts w:ascii="Times" w:hAnsi="Times"/>
          <w:sz w:val="24"/>
          <w:szCs w:val="24"/>
        </w:rPr>
        <w:t>1</w:t>
      </w:r>
      <w:r w:rsidRPr="004F383A">
        <w:rPr>
          <w:rFonts w:ascii="Times" w:hAnsi="Times"/>
          <w:sz w:val="24"/>
          <w:szCs w:val="24"/>
        </w:rPr>
        <w:t xml:space="preserve"> (</w:t>
      </w:r>
      <w:r w:rsidRPr="00D35B61">
        <w:rPr>
          <w:rFonts w:ascii="Times" w:hAnsi="Times"/>
          <w:sz w:val="24"/>
          <w:szCs w:val="24"/>
        </w:rPr>
        <w:t>2015</w:t>
      </w:r>
      <w:r w:rsidRPr="004F383A">
        <w:rPr>
          <w:rFonts w:ascii="Times" w:hAnsi="Times"/>
          <w:sz w:val="24"/>
          <w:szCs w:val="24"/>
        </w:rPr>
        <w:t>)</w:t>
      </w:r>
      <w:r w:rsidRPr="00D35B61">
        <w:rPr>
          <w:rFonts w:ascii="Times" w:hAnsi="Times"/>
          <w:sz w:val="24"/>
          <w:szCs w:val="24"/>
        </w:rPr>
        <w:t>: 24–42</w:t>
      </w:r>
      <w:r w:rsidR="0075498E" w:rsidRPr="004F383A">
        <w:rPr>
          <w:rFonts w:ascii="Times" w:hAnsi="Times"/>
          <w:sz w:val="24"/>
          <w:szCs w:val="24"/>
        </w:rPr>
        <w:t xml:space="preserve">;; </w:t>
      </w:r>
      <w:r w:rsidR="00CE468D" w:rsidRPr="004F383A">
        <w:rPr>
          <w:rFonts w:ascii="Times" w:hAnsi="Times"/>
          <w:sz w:val="24"/>
          <w:szCs w:val="24"/>
        </w:rPr>
        <w:t xml:space="preserve">Bjørnar J. </w:t>
      </w:r>
      <w:r w:rsidR="0075498E" w:rsidRPr="004F383A">
        <w:rPr>
          <w:rFonts w:ascii="Times" w:hAnsi="Times"/>
          <w:sz w:val="24"/>
          <w:szCs w:val="24"/>
        </w:rPr>
        <w:t>Olsen, B. and</w:t>
      </w:r>
      <w:r w:rsidR="00CE468D" w:rsidRPr="004F383A">
        <w:rPr>
          <w:rFonts w:ascii="Times" w:hAnsi="Times"/>
          <w:sz w:val="24"/>
          <w:szCs w:val="24"/>
        </w:rPr>
        <w:t xml:space="preserve"> Þóra </w:t>
      </w:r>
      <w:r w:rsidR="0075498E" w:rsidRPr="004F383A">
        <w:rPr>
          <w:rFonts w:ascii="Times" w:hAnsi="Times"/>
          <w:sz w:val="24"/>
          <w:szCs w:val="24"/>
        </w:rPr>
        <w:t xml:space="preserve">Pétursdóttir, “Unruly Heritage: Tracing Legacies in the Anthropocene,” </w:t>
      </w:r>
      <w:proofErr w:type="spellStart"/>
      <w:r w:rsidR="0075498E" w:rsidRPr="004F383A">
        <w:rPr>
          <w:rFonts w:ascii="Times" w:hAnsi="Times"/>
          <w:i/>
          <w:sz w:val="24"/>
          <w:szCs w:val="24"/>
        </w:rPr>
        <w:t>Arkæologisk</w:t>
      </w:r>
      <w:proofErr w:type="spellEnd"/>
      <w:r w:rsidR="0075498E" w:rsidRPr="004F383A">
        <w:rPr>
          <w:rFonts w:ascii="Times" w:hAnsi="Times"/>
          <w:i/>
          <w:sz w:val="24"/>
          <w:szCs w:val="24"/>
        </w:rPr>
        <w:t xml:space="preserve"> Forum</w:t>
      </w:r>
      <w:r w:rsidR="0075498E" w:rsidRPr="004F383A">
        <w:rPr>
          <w:rFonts w:ascii="Times" w:hAnsi="Times"/>
          <w:sz w:val="24"/>
          <w:szCs w:val="24"/>
        </w:rPr>
        <w:t xml:space="preserve"> 35 (2016): 38–46; </w:t>
      </w:r>
      <w:r w:rsidR="00CE468D" w:rsidRPr="004F383A">
        <w:rPr>
          <w:rFonts w:ascii="Times" w:hAnsi="Times"/>
          <w:sz w:val="24"/>
          <w:szCs w:val="24"/>
        </w:rPr>
        <w:t xml:space="preserve">Þóra </w:t>
      </w:r>
      <w:r w:rsidR="00CE468D" w:rsidRPr="004F383A">
        <w:rPr>
          <w:rFonts w:ascii="Times" w:hAnsi="Times" w:cs="Times New Roman"/>
          <w:sz w:val="24"/>
          <w:szCs w:val="24"/>
        </w:rPr>
        <w:t xml:space="preserve">Pétursdóttir, “Climate Change? Archaeology and Anthropocene,” </w:t>
      </w:r>
      <w:r w:rsidR="00CE468D" w:rsidRPr="004F383A">
        <w:rPr>
          <w:rFonts w:ascii="Times" w:hAnsi="Times" w:cs="Times New Roman"/>
          <w:i/>
          <w:sz w:val="24"/>
          <w:szCs w:val="24"/>
        </w:rPr>
        <w:t>Archaeological Dialogues</w:t>
      </w:r>
      <w:r w:rsidR="00CE468D" w:rsidRPr="004F383A">
        <w:rPr>
          <w:rFonts w:ascii="Times" w:hAnsi="Times" w:cs="Times New Roman"/>
          <w:sz w:val="24"/>
          <w:szCs w:val="24"/>
        </w:rPr>
        <w:t xml:space="preserve"> Vol. 24, No. 2 (2017): 175–205.</w:t>
      </w:r>
    </w:p>
  </w:endnote>
  <w:endnote w:id="9">
    <w:p w14:paraId="556BC994" w14:textId="5078244F" w:rsidR="00CE468D" w:rsidRPr="004F383A" w:rsidRDefault="00CE468D" w:rsidP="00343BBA">
      <w:pPr>
        <w:spacing w:line="240" w:lineRule="auto"/>
        <w:contextualSpacing/>
        <w:rPr>
          <w:rFonts w:ascii="Times" w:hAnsi="Times" w:cs="Times New Roman"/>
          <w:sz w:val="24"/>
          <w:szCs w:val="24"/>
        </w:rPr>
      </w:pPr>
      <w:r w:rsidRPr="004F383A">
        <w:rPr>
          <w:rStyle w:val="EndnoteReference"/>
          <w:rFonts w:ascii="Times" w:hAnsi="Times"/>
          <w:sz w:val="24"/>
          <w:szCs w:val="24"/>
        </w:rPr>
        <w:endnoteRef/>
      </w:r>
      <w:r w:rsidRPr="004F383A">
        <w:rPr>
          <w:rFonts w:ascii="Times" w:hAnsi="Times"/>
          <w:sz w:val="24"/>
          <w:szCs w:val="24"/>
        </w:rPr>
        <w:t xml:space="preserve"> </w:t>
      </w:r>
      <w:r w:rsidRPr="004F383A">
        <w:rPr>
          <w:rFonts w:ascii="Times" w:hAnsi="Times" w:cs="Times New Roman"/>
          <w:sz w:val="24"/>
          <w:szCs w:val="24"/>
        </w:rPr>
        <w:t xml:space="preserve">Colin Sterling, “Critical Heritage and the </w:t>
      </w:r>
      <w:proofErr w:type="spellStart"/>
      <w:r w:rsidRPr="004F383A">
        <w:rPr>
          <w:rFonts w:ascii="Times" w:hAnsi="Times" w:cs="Times New Roman"/>
          <w:sz w:val="24"/>
          <w:szCs w:val="24"/>
        </w:rPr>
        <w:t>Posthumanities</w:t>
      </w:r>
      <w:proofErr w:type="spellEnd"/>
      <w:r w:rsidRPr="004F383A">
        <w:rPr>
          <w:rFonts w:ascii="Times" w:hAnsi="Times" w:cs="Times New Roman"/>
          <w:sz w:val="24"/>
          <w:szCs w:val="24"/>
        </w:rPr>
        <w:t xml:space="preserve">: Problems and Prospects,” </w:t>
      </w:r>
      <w:r w:rsidRPr="004F383A">
        <w:rPr>
          <w:rFonts w:ascii="Times" w:hAnsi="Times" w:cs="Times New Roman"/>
          <w:i/>
          <w:iCs/>
          <w:sz w:val="24"/>
          <w:szCs w:val="24"/>
        </w:rPr>
        <w:t>International Journal of Heritage Studies</w:t>
      </w:r>
      <w:r w:rsidRPr="004F383A">
        <w:rPr>
          <w:rFonts w:ascii="Times" w:hAnsi="Times" w:cs="Times New Roman"/>
          <w:sz w:val="24"/>
          <w:szCs w:val="24"/>
        </w:rPr>
        <w:t xml:space="preserve">, Vol. 26, No. 11(2020): 1029–1046. </w:t>
      </w:r>
    </w:p>
  </w:endnote>
  <w:endnote w:id="10">
    <w:p w14:paraId="083EFED0" w14:textId="00DDA1A6" w:rsidR="00260EF8" w:rsidRPr="004F383A" w:rsidRDefault="00260EF8" w:rsidP="00343BBA">
      <w:pPr>
        <w:pStyle w:val="EndnoteText"/>
        <w:contextualSpacing/>
        <w:rPr>
          <w:rFonts w:ascii="Times" w:hAnsi="Times"/>
          <w:sz w:val="24"/>
          <w:szCs w:val="24"/>
        </w:rPr>
      </w:pPr>
      <w:r w:rsidRPr="004F383A">
        <w:rPr>
          <w:rStyle w:val="EndnoteReference"/>
          <w:rFonts w:ascii="Times" w:hAnsi="Times"/>
          <w:sz w:val="24"/>
          <w:szCs w:val="24"/>
        </w:rPr>
        <w:endnoteRef/>
      </w:r>
      <w:r w:rsidRPr="004F383A">
        <w:rPr>
          <w:rFonts w:ascii="Times" w:hAnsi="Times"/>
          <w:sz w:val="24"/>
          <w:szCs w:val="24"/>
        </w:rPr>
        <w:t xml:space="preserve"> Donna Haraway, </w:t>
      </w:r>
      <w:r w:rsidRPr="004F383A">
        <w:rPr>
          <w:rFonts w:ascii="Times" w:hAnsi="Times"/>
          <w:i/>
          <w:sz w:val="24"/>
          <w:szCs w:val="24"/>
        </w:rPr>
        <w:t>Manifestly Haraway (</w:t>
      </w:r>
      <w:r w:rsidRPr="004F383A">
        <w:rPr>
          <w:rFonts w:ascii="Times" w:hAnsi="Times"/>
          <w:sz w:val="24"/>
          <w:szCs w:val="24"/>
        </w:rPr>
        <w:t xml:space="preserve">Minneapolis and London: University of Minnesota Press, </w:t>
      </w:r>
      <w:r w:rsidRPr="004F383A">
        <w:rPr>
          <w:rFonts w:ascii="Times" w:hAnsi="Times" w:cs="Times New Roman"/>
          <w:sz w:val="24"/>
          <w:szCs w:val="24"/>
        </w:rPr>
        <w:t>2016), 221.</w:t>
      </w:r>
    </w:p>
  </w:endnote>
  <w:endnote w:id="11">
    <w:p w14:paraId="1CBD76AD" w14:textId="3F7E445C" w:rsidR="00260EF8" w:rsidRPr="004F383A" w:rsidRDefault="00260EF8" w:rsidP="00343BBA">
      <w:pPr>
        <w:pStyle w:val="EndnoteText"/>
        <w:contextualSpacing/>
        <w:rPr>
          <w:rFonts w:ascii="Times" w:hAnsi="Times"/>
          <w:sz w:val="24"/>
          <w:szCs w:val="24"/>
        </w:rPr>
      </w:pPr>
      <w:r w:rsidRPr="004F383A">
        <w:rPr>
          <w:rStyle w:val="EndnoteReference"/>
          <w:rFonts w:ascii="Times" w:hAnsi="Times"/>
          <w:sz w:val="24"/>
          <w:szCs w:val="24"/>
        </w:rPr>
        <w:endnoteRef/>
      </w:r>
      <w:r w:rsidRPr="004F383A">
        <w:rPr>
          <w:rFonts w:ascii="Times" w:hAnsi="Times"/>
          <w:sz w:val="24"/>
          <w:szCs w:val="24"/>
        </w:rPr>
        <w:t xml:space="preserve"> See Andreas Malm, </w:t>
      </w:r>
      <w:r w:rsidRPr="004F383A">
        <w:rPr>
          <w:rFonts w:ascii="Times" w:hAnsi="Times"/>
          <w:i/>
          <w:iCs/>
          <w:sz w:val="24"/>
          <w:szCs w:val="24"/>
        </w:rPr>
        <w:t>The Progress of This Storm: Nature and Society in a Warming World</w:t>
      </w:r>
      <w:r w:rsidRPr="004F383A">
        <w:rPr>
          <w:rFonts w:ascii="Times" w:hAnsi="Times"/>
          <w:sz w:val="24"/>
          <w:szCs w:val="24"/>
        </w:rPr>
        <w:t xml:space="preserve"> (London: Verso, 2018); </w:t>
      </w:r>
      <w:r w:rsidRPr="004F383A">
        <w:rPr>
          <w:rFonts w:ascii="Times" w:hAnsi="Times" w:cs="Times New Roman"/>
          <w:sz w:val="24"/>
          <w:szCs w:val="24"/>
        </w:rPr>
        <w:t xml:space="preserve">Kathryn Yusoff, </w:t>
      </w:r>
      <w:r w:rsidRPr="004F383A">
        <w:rPr>
          <w:rFonts w:ascii="Times" w:hAnsi="Times" w:cs="Times New Roman"/>
          <w:i/>
          <w:iCs/>
          <w:sz w:val="24"/>
          <w:szCs w:val="24"/>
        </w:rPr>
        <w:t xml:space="preserve">A Billion Black </w:t>
      </w:r>
      <w:proofErr w:type="spellStart"/>
      <w:r w:rsidRPr="004F383A">
        <w:rPr>
          <w:rFonts w:ascii="Times" w:hAnsi="Times" w:cs="Times New Roman"/>
          <w:i/>
          <w:iCs/>
          <w:sz w:val="24"/>
          <w:szCs w:val="24"/>
        </w:rPr>
        <w:t>Anthropocenes</w:t>
      </w:r>
      <w:proofErr w:type="spellEnd"/>
      <w:r w:rsidRPr="004F383A">
        <w:rPr>
          <w:rFonts w:ascii="Times" w:hAnsi="Times" w:cs="Times New Roman"/>
          <w:i/>
          <w:iCs/>
          <w:sz w:val="24"/>
          <w:szCs w:val="24"/>
        </w:rPr>
        <w:t xml:space="preserve"> or None</w:t>
      </w:r>
      <w:r w:rsidRPr="004F383A">
        <w:rPr>
          <w:rFonts w:ascii="Times" w:hAnsi="Times" w:cs="Times New Roman"/>
          <w:sz w:val="24"/>
          <w:szCs w:val="24"/>
        </w:rPr>
        <w:t xml:space="preserve"> (Minneapolis and London: University of Minnesota Press, 2018). </w:t>
      </w:r>
    </w:p>
  </w:endnote>
  <w:endnote w:id="12">
    <w:p w14:paraId="22FC4713" w14:textId="012126C1" w:rsidR="00260EF8" w:rsidRPr="004F383A" w:rsidRDefault="00260EF8" w:rsidP="00343BBA">
      <w:pPr>
        <w:spacing w:line="240" w:lineRule="auto"/>
        <w:contextualSpacing/>
        <w:rPr>
          <w:rFonts w:ascii="Times" w:hAnsi="Times" w:cs="Times New Roman"/>
          <w:sz w:val="24"/>
          <w:szCs w:val="24"/>
        </w:rPr>
      </w:pPr>
      <w:r w:rsidRPr="004F383A">
        <w:rPr>
          <w:rStyle w:val="EndnoteReference"/>
          <w:rFonts w:ascii="Times" w:hAnsi="Times"/>
          <w:sz w:val="24"/>
          <w:szCs w:val="24"/>
        </w:rPr>
        <w:endnoteRef/>
      </w:r>
      <w:r w:rsidRPr="004F383A">
        <w:rPr>
          <w:rFonts w:ascii="Times" w:hAnsi="Times"/>
          <w:sz w:val="24"/>
          <w:szCs w:val="24"/>
        </w:rPr>
        <w:t xml:space="preserve"> </w:t>
      </w:r>
      <w:r w:rsidRPr="004F383A">
        <w:rPr>
          <w:rFonts w:ascii="Times" w:hAnsi="Times" w:cs="Times New Roman"/>
          <w:sz w:val="24"/>
          <w:szCs w:val="24"/>
        </w:rPr>
        <w:t xml:space="preserve">See Caitlin DeSilvey, </w:t>
      </w:r>
      <w:r w:rsidRPr="004F383A">
        <w:rPr>
          <w:rFonts w:ascii="Times" w:hAnsi="Times" w:cs="Times New Roman"/>
          <w:i/>
          <w:sz w:val="24"/>
          <w:szCs w:val="24"/>
        </w:rPr>
        <w:t>Curated Decay: Heritage Beyond Saving</w:t>
      </w:r>
      <w:r w:rsidRPr="004F383A">
        <w:rPr>
          <w:rFonts w:ascii="Times" w:hAnsi="Times" w:cs="Times New Roman"/>
          <w:sz w:val="24"/>
          <w:szCs w:val="24"/>
        </w:rPr>
        <w:t xml:space="preserve"> (Minneapolis &amp; London: University of Minnesota Press, 2017); Cailtin DeSilvey</w:t>
      </w:r>
      <w:r w:rsidRPr="004F383A">
        <w:rPr>
          <w:rFonts w:ascii="Times" w:hAnsi="Times" w:cs="Times New Roman"/>
          <w:sz w:val="24"/>
          <w:szCs w:val="24"/>
        </w:rPr>
        <w:t xml:space="preserve"> and Rodney Harrison, “Anticipating Loss: Rethinking Endangerment in Heritage Futures.” </w:t>
      </w:r>
      <w:r w:rsidRPr="004F383A">
        <w:rPr>
          <w:rFonts w:ascii="Times" w:hAnsi="Times" w:cs="Times New Roman"/>
          <w:i/>
          <w:iCs/>
          <w:sz w:val="24"/>
          <w:szCs w:val="24"/>
        </w:rPr>
        <w:t>International Journal of Heritage Studies</w:t>
      </w:r>
      <w:r w:rsidRPr="004F383A">
        <w:rPr>
          <w:rFonts w:ascii="Times" w:hAnsi="Times" w:cs="Times New Roman"/>
          <w:sz w:val="24"/>
          <w:szCs w:val="24"/>
        </w:rPr>
        <w:t xml:space="preserve"> Vol. 26, No. 1 (2020):1–7.</w:t>
      </w:r>
    </w:p>
  </w:endnote>
  <w:endnote w:id="13">
    <w:p w14:paraId="4104043E" w14:textId="46C6940D" w:rsidR="00F31CFD" w:rsidRPr="004F383A" w:rsidRDefault="00F31CFD">
      <w:pPr>
        <w:pStyle w:val="EndnoteText"/>
        <w:contextualSpacing/>
        <w:rPr>
          <w:rFonts w:ascii="Times" w:hAnsi="Times"/>
          <w:bCs/>
          <w:sz w:val="24"/>
          <w:szCs w:val="24"/>
        </w:rPr>
      </w:pPr>
      <w:r w:rsidRPr="004F383A">
        <w:rPr>
          <w:rStyle w:val="EndnoteReference"/>
          <w:rFonts w:ascii="Times" w:hAnsi="Times"/>
          <w:sz w:val="24"/>
          <w:szCs w:val="24"/>
        </w:rPr>
        <w:endnoteRef/>
      </w:r>
      <w:r w:rsidRPr="004F383A">
        <w:rPr>
          <w:rFonts w:ascii="Times" w:hAnsi="Times"/>
          <w:sz w:val="24"/>
          <w:szCs w:val="24"/>
        </w:rPr>
        <w:t xml:space="preserve"> </w:t>
      </w:r>
      <w:r w:rsidRPr="004F383A">
        <w:rPr>
          <w:rFonts w:ascii="Times" w:hAnsi="Times"/>
          <w:sz w:val="24"/>
          <w:szCs w:val="24"/>
          <w:lang w:val="en-US"/>
        </w:rPr>
        <w:t xml:space="preserve">John </w:t>
      </w:r>
      <w:proofErr w:type="spellStart"/>
      <w:r w:rsidRPr="004F383A">
        <w:rPr>
          <w:rFonts w:ascii="Times" w:hAnsi="Times"/>
          <w:bCs/>
          <w:sz w:val="24"/>
          <w:szCs w:val="24"/>
        </w:rPr>
        <w:t>Odling</w:t>
      </w:r>
      <w:proofErr w:type="spellEnd"/>
      <w:r w:rsidRPr="004F383A">
        <w:rPr>
          <w:rFonts w:ascii="Times" w:hAnsi="Times"/>
          <w:bCs/>
          <w:sz w:val="24"/>
          <w:szCs w:val="24"/>
        </w:rPr>
        <w:t xml:space="preserve">-Smee and Kevin N. Laland, “Ecological Inheritance and Cultural Inheritance: What Are They and How Do They Differ?” </w:t>
      </w:r>
      <w:r w:rsidRPr="004F383A">
        <w:rPr>
          <w:rFonts w:ascii="Times" w:hAnsi="Times"/>
          <w:bCs/>
          <w:i/>
          <w:sz w:val="24"/>
          <w:szCs w:val="24"/>
        </w:rPr>
        <w:t>Biological Theory</w:t>
      </w:r>
      <w:r w:rsidRPr="004F383A">
        <w:rPr>
          <w:rFonts w:ascii="Times" w:hAnsi="Times"/>
          <w:bCs/>
          <w:sz w:val="24"/>
          <w:szCs w:val="24"/>
        </w:rPr>
        <w:t xml:space="preserve"> 6 (2011): 220</w:t>
      </w:r>
      <w:r w:rsidRPr="004F383A">
        <w:rPr>
          <w:rFonts w:ascii="Times" w:hAnsi="Times" w:cs="Times New Roman"/>
          <w:sz w:val="24"/>
          <w:szCs w:val="24"/>
        </w:rPr>
        <w:t>–</w:t>
      </w:r>
      <w:r w:rsidRPr="004F383A">
        <w:rPr>
          <w:rFonts w:ascii="Times" w:hAnsi="Times"/>
          <w:bCs/>
          <w:sz w:val="24"/>
          <w:szCs w:val="24"/>
        </w:rPr>
        <w:t xml:space="preserve">230. </w:t>
      </w:r>
    </w:p>
  </w:endnote>
  <w:endnote w:id="14">
    <w:p w14:paraId="28D11113" w14:textId="61747C1F" w:rsidR="0076576D" w:rsidRPr="004F383A" w:rsidRDefault="0076576D" w:rsidP="00343BBA">
      <w:pPr>
        <w:spacing w:line="240" w:lineRule="auto"/>
        <w:contextualSpacing/>
        <w:rPr>
          <w:rFonts w:ascii="Times" w:hAnsi="Times" w:cs="Times New Roman"/>
          <w:sz w:val="24"/>
          <w:szCs w:val="24"/>
        </w:rPr>
      </w:pPr>
      <w:r w:rsidRPr="004F383A">
        <w:rPr>
          <w:rStyle w:val="EndnoteReference"/>
          <w:rFonts w:ascii="Times" w:hAnsi="Times"/>
          <w:sz w:val="24"/>
          <w:szCs w:val="24"/>
        </w:rPr>
        <w:endnoteRef/>
      </w:r>
      <w:r w:rsidRPr="004F383A">
        <w:rPr>
          <w:rFonts w:ascii="Times" w:hAnsi="Times"/>
          <w:sz w:val="24"/>
          <w:szCs w:val="24"/>
        </w:rPr>
        <w:t xml:space="preserve"> Roy </w:t>
      </w:r>
      <w:r w:rsidRPr="004F383A">
        <w:rPr>
          <w:rFonts w:ascii="Times" w:hAnsi="Times" w:cs="Times New Roman"/>
          <w:sz w:val="24"/>
          <w:szCs w:val="24"/>
        </w:rPr>
        <w:t xml:space="preserve">Scranton, </w:t>
      </w:r>
      <w:r w:rsidRPr="004F383A">
        <w:rPr>
          <w:rFonts w:ascii="Times" w:hAnsi="Times" w:cs="Times New Roman"/>
          <w:i/>
          <w:sz w:val="24"/>
          <w:szCs w:val="24"/>
        </w:rPr>
        <w:t>Learning to Die in the Anthropocene</w:t>
      </w:r>
      <w:r w:rsidRPr="004F383A">
        <w:rPr>
          <w:rFonts w:ascii="Times" w:hAnsi="Times" w:cs="Times New Roman"/>
          <w:sz w:val="24"/>
          <w:szCs w:val="24"/>
        </w:rPr>
        <w:t xml:space="preserve"> (San Francisco: City Light, 2015), 23.</w:t>
      </w:r>
    </w:p>
  </w:endnote>
  <w:endnote w:id="15">
    <w:p w14:paraId="1796D20C" w14:textId="1E9D012D" w:rsidR="0076576D" w:rsidRPr="004F383A" w:rsidRDefault="0076576D" w:rsidP="00343BBA">
      <w:pPr>
        <w:pStyle w:val="EndnoteText"/>
        <w:contextualSpacing/>
        <w:rPr>
          <w:rFonts w:ascii="Times" w:hAnsi="Times"/>
          <w:sz w:val="24"/>
          <w:szCs w:val="24"/>
          <w:lang w:val="en-US"/>
        </w:rPr>
      </w:pPr>
      <w:r w:rsidRPr="004F383A">
        <w:rPr>
          <w:rStyle w:val="EndnoteReference"/>
          <w:rFonts w:ascii="Times" w:hAnsi="Times"/>
          <w:sz w:val="24"/>
          <w:szCs w:val="24"/>
        </w:rPr>
        <w:endnoteRef/>
      </w:r>
      <w:r w:rsidRPr="004F383A">
        <w:rPr>
          <w:rFonts w:ascii="Times" w:hAnsi="Times"/>
          <w:sz w:val="24"/>
          <w:szCs w:val="24"/>
        </w:rPr>
        <w:t xml:space="preserve"> </w:t>
      </w:r>
      <w:r w:rsidRPr="004F383A">
        <w:rPr>
          <w:rFonts w:ascii="Times" w:hAnsi="Times" w:cs="Times New Roman"/>
          <w:sz w:val="24"/>
          <w:szCs w:val="24"/>
        </w:rPr>
        <w:t>Ibid</w:t>
      </w:r>
      <w:r w:rsidR="004F383A" w:rsidRPr="004F383A">
        <w:rPr>
          <w:rFonts w:ascii="Times" w:hAnsi="Times" w:cs="Times New Roman"/>
          <w:sz w:val="24"/>
          <w:szCs w:val="24"/>
        </w:rPr>
        <w:t>,</w:t>
      </w:r>
      <w:r w:rsidRPr="004F383A">
        <w:rPr>
          <w:rFonts w:ascii="Times" w:hAnsi="Times" w:cs="Times New Roman"/>
          <w:sz w:val="24"/>
          <w:szCs w:val="24"/>
        </w:rPr>
        <w:t xml:space="preserve"> 24.</w:t>
      </w:r>
    </w:p>
  </w:endnote>
  <w:endnote w:id="16">
    <w:p w14:paraId="4AB25A48" w14:textId="36AE3C63" w:rsidR="0076576D" w:rsidRPr="004F383A" w:rsidRDefault="0076576D" w:rsidP="00343BBA">
      <w:pPr>
        <w:pStyle w:val="EndnoteText"/>
        <w:contextualSpacing/>
        <w:rPr>
          <w:rFonts w:ascii="Times" w:hAnsi="Times"/>
          <w:sz w:val="24"/>
          <w:szCs w:val="24"/>
          <w:lang w:val="en-US"/>
        </w:rPr>
      </w:pPr>
      <w:r w:rsidRPr="004F383A">
        <w:rPr>
          <w:rStyle w:val="EndnoteReference"/>
          <w:rFonts w:ascii="Times" w:hAnsi="Times"/>
          <w:sz w:val="24"/>
          <w:szCs w:val="24"/>
        </w:rPr>
        <w:endnoteRef/>
      </w:r>
      <w:r w:rsidRPr="004F383A">
        <w:rPr>
          <w:rFonts w:ascii="Times" w:hAnsi="Times"/>
          <w:sz w:val="24"/>
          <w:szCs w:val="24"/>
        </w:rPr>
        <w:t xml:space="preserve"> </w:t>
      </w:r>
      <w:r w:rsidRPr="004F383A">
        <w:rPr>
          <w:rFonts w:ascii="Times" w:hAnsi="Times" w:cs="Times New Roman"/>
          <w:sz w:val="24"/>
          <w:szCs w:val="24"/>
        </w:rPr>
        <w:t>Ibid</w:t>
      </w:r>
      <w:r w:rsidR="004F383A" w:rsidRPr="004F383A">
        <w:rPr>
          <w:rFonts w:ascii="Times" w:hAnsi="Times" w:cs="Times New Roman"/>
          <w:sz w:val="24"/>
          <w:szCs w:val="24"/>
        </w:rPr>
        <w:t xml:space="preserve">, </w:t>
      </w:r>
      <w:r w:rsidRPr="004F383A">
        <w:rPr>
          <w:rFonts w:ascii="Times" w:hAnsi="Times" w:cs="Times New Roman"/>
          <w:sz w:val="24"/>
          <w:szCs w:val="24"/>
        </w:rPr>
        <w:t>109.</w:t>
      </w:r>
    </w:p>
  </w:endnote>
  <w:endnote w:id="17">
    <w:p w14:paraId="10D12905" w14:textId="5CEA31C7" w:rsidR="0076576D" w:rsidRPr="004F383A" w:rsidRDefault="0076576D" w:rsidP="00343BBA">
      <w:pPr>
        <w:spacing w:line="240" w:lineRule="auto"/>
        <w:contextualSpacing/>
        <w:rPr>
          <w:rFonts w:ascii="Times" w:hAnsi="Times" w:cs="Times New Roman"/>
          <w:sz w:val="24"/>
          <w:szCs w:val="24"/>
        </w:rPr>
      </w:pPr>
      <w:r w:rsidRPr="004F383A">
        <w:rPr>
          <w:rStyle w:val="EndnoteReference"/>
          <w:rFonts w:ascii="Times" w:hAnsi="Times"/>
          <w:sz w:val="24"/>
          <w:szCs w:val="24"/>
        </w:rPr>
        <w:endnoteRef/>
      </w:r>
      <w:r w:rsidRPr="004F383A">
        <w:rPr>
          <w:rFonts w:ascii="Times" w:hAnsi="Times"/>
          <w:sz w:val="24"/>
          <w:szCs w:val="24"/>
        </w:rPr>
        <w:t xml:space="preserve"> </w:t>
      </w:r>
      <w:r w:rsidR="004F383A" w:rsidRPr="004F383A">
        <w:rPr>
          <w:rFonts w:ascii="Times" w:hAnsi="Times" w:cs="Times New Roman"/>
          <w:sz w:val="24"/>
          <w:szCs w:val="24"/>
        </w:rPr>
        <w:t>Ibid</w:t>
      </w:r>
      <w:r w:rsidRPr="004F383A">
        <w:rPr>
          <w:rFonts w:ascii="Times" w:hAnsi="Times" w:cs="Times New Roman"/>
          <w:sz w:val="24"/>
          <w:szCs w:val="24"/>
        </w:rPr>
        <w:t>, 99, emphasis in original</w:t>
      </w:r>
      <w:r w:rsidR="00343BBA" w:rsidRPr="004F383A">
        <w:rPr>
          <w:rFonts w:ascii="Times" w:hAnsi="Times" w:cs="Times New Roman"/>
          <w:sz w:val="24"/>
          <w:szCs w:val="24"/>
        </w:rPr>
        <w:t>.</w:t>
      </w:r>
    </w:p>
  </w:endnote>
  <w:endnote w:id="18">
    <w:p w14:paraId="37866822" w14:textId="2005DEE4" w:rsidR="00343BBA" w:rsidRPr="004F383A" w:rsidRDefault="00343BBA" w:rsidP="00343BBA">
      <w:pPr>
        <w:rPr>
          <w:rFonts w:ascii="Times" w:hAnsi="Times" w:cs="Times New Roman"/>
          <w:sz w:val="24"/>
          <w:szCs w:val="24"/>
        </w:rPr>
      </w:pPr>
      <w:r w:rsidRPr="004F383A">
        <w:rPr>
          <w:rStyle w:val="EndnoteReference"/>
          <w:rFonts w:ascii="Times" w:hAnsi="Times"/>
          <w:sz w:val="24"/>
          <w:szCs w:val="24"/>
        </w:rPr>
        <w:endnoteRef/>
      </w:r>
      <w:r w:rsidRPr="004F383A">
        <w:rPr>
          <w:rFonts w:ascii="Times" w:hAnsi="Times"/>
          <w:sz w:val="24"/>
          <w:szCs w:val="24"/>
        </w:rPr>
        <w:t xml:space="preserve"> See Paul </w:t>
      </w:r>
      <w:proofErr w:type="spellStart"/>
      <w:r w:rsidRPr="004F383A">
        <w:rPr>
          <w:rFonts w:ascii="Times" w:hAnsi="Times" w:cs="Times New Roman"/>
          <w:sz w:val="24"/>
          <w:szCs w:val="24"/>
        </w:rPr>
        <w:t>Basu</w:t>
      </w:r>
      <w:proofErr w:type="spellEnd"/>
      <w:r w:rsidRPr="004F383A">
        <w:rPr>
          <w:rFonts w:ascii="Times" w:hAnsi="Times" w:cs="Times New Roman"/>
          <w:sz w:val="24"/>
          <w:szCs w:val="24"/>
        </w:rPr>
        <w:t xml:space="preserve">, </w:t>
      </w:r>
      <w:r w:rsidRPr="004F383A">
        <w:rPr>
          <w:rFonts w:ascii="Times" w:hAnsi="Times" w:cs="Times New Roman"/>
          <w:i/>
          <w:sz w:val="24"/>
          <w:szCs w:val="24"/>
        </w:rPr>
        <w:t>Highland Homecomings: Genealogy and Heritage Tourism in the Scottish Highland Diaspora</w:t>
      </w:r>
      <w:r w:rsidRPr="004F383A">
        <w:rPr>
          <w:rFonts w:ascii="Times" w:hAnsi="Times" w:cs="Times New Roman"/>
          <w:sz w:val="24"/>
          <w:szCs w:val="24"/>
        </w:rPr>
        <w:t xml:space="preserve"> (New York: Routledge, 2007</w:t>
      </w:r>
      <w:r w:rsidR="004F383A" w:rsidRPr="004F383A">
        <w:rPr>
          <w:rFonts w:ascii="Times" w:hAnsi="Times" w:cs="Times New Roman"/>
          <w:sz w:val="24"/>
          <w:szCs w:val="24"/>
        </w:rPr>
        <w:t>)</w:t>
      </w:r>
      <w:r w:rsidRPr="004F383A">
        <w:rPr>
          <w:rFonts w:ascii="Times" w:hAnsi="Times" w:cs="Times New Roman"/>
          <w:sz w:val="24"/>
          <w:szCs w:val="24"/>
        </w:rPr>
        <w:t>.</w:t>
      </w:r>
    </w:p>
  </w:endnote>
  <w:endnote w:id="19">
    <w:p w14:paraId="258CF5BB" w14:textId="7E3F7B01" w:rsidR="00343BBA" w:rsidRPr="004F383A" w:rsidRDefault="00343BBA">
      <w:pPr>
        <w:pStyle w:val="EndnoteText"/>
        <w:rPr>
          <w:rFonts w:ascii="Times" w:hAnsi="Times"/>
          <w:sz w:val="24"/>
          <w:szCs w:val="24"/>
          <w:lang w:val="en-US"/>
        </w:rPr>
      </w:pPr>
      <w:r w:rsidRPr="004F383A">
        <w:rPr>
          <w:rStyle w:val="EndnoteReference"/>
          <w:rFonts w:ascii="Times" w:hAnsi="Times"/>
          <w:sz w:val="24"/>
          <w:szCs w:val="24"/>
        </w:rPr>
        <w:endnoteRef/>
      </w:r>
      <w:r w:rsidRPr="004F383A">
        <w:rPr>
          <w:rFonts w:ascii="Times" w:hAnsi="Times"/>
          <w:sz w:val="24"/>
          <w:szCs w:val="24"/>
        </w:rPr>
        <w:t xml:space="preserve"> Scott F. Gilbert, “</w:t>
      </w:r>
      <w:proofErr w:type="spellStart"/>
      <w:r w:rsidRPr="004F383A">
        <w:rPr>
          <w:rFonts w:ascii="Times" w:hAnsi="Times"/>
          <w:sz w:val="24"/>
          <w:szCs w:val="24"/>
        </w:rPr>
        <w:t>Holobiont</w:t>
      </w:r>
      <w:proofErr w:type="spellEnd"/>
      <w:r w:rsidRPr="004F383A">
        <w:rPr>
          <w:rFonts w:ascii="Times" w:hAnsi="Times"/>
          <w:sz w:val="24"/>
          <w:szCs w:val="24"/>
        </w:rPr>
        <w:t xml:space="preserve"> by birth: </w:t>
      </w:r>
      <w:proofErr w:type="spellStart"/>
      <w:r w:rsidRPr="004F383A">
        <w:rPr>
          <w:rFonts w:ascii="Times" w:hAnsi="Times"/>
          <w:sz w:val="24"/>
          <w:szCs w:val="24"/>
        </w:rPr>
        <w:t>Multilineal</w:t>
      </w:r>
      <w:proofErr w:type="spellEnd"/>
      <w:r w:rsidRPr="004F383A">
        <w:rPr>
          <w:rFonts w:ascii="Times" w:hAnsi="Times"/>
          <w:sz w:val="24"/>
          <w:szCs w:val="24"/>
        </w:rPr>
        <w:t xml:space="preserve"> individuals as the concretion of cooperative processes,” in </w:t>
      </w:r>
      <w:r w:rsidRPr="004F383A">
        <w:rPr>
          <w:rFonts w:ascii="Times" w:hAnsi="Times"/>
          <w:i/>
          <w:sz w:val="24"/>
          <w:szCs w:val="24"/>
        </w:rPr>
        <w:t>Arts of Living on a Damaged Planet</w:t>
      </w:r>
      <w:r w:rsidRPr="004F383A">
        <w:rPr>
          <w:rFonts w:ascii="Times" w:hAnsi="Times"/>
          <w:sz w:val="24"/>
          <w:szCs w:val="24"/>
        </w:rPr>
        <w:t>, ed. by A</w:t>
      </w:r>
      <w:r w:rsidR="000B2FFD">
        <w:rPr>
          <w:rFonts w:ascii="Times" w:hAnsi="Times"/>
          <w:sz w:val="24"/>
          <w:szCs w:val="24"/>
        </w:rPr>
        <w:t>nna</w:t>
      </w:r>
      <w:r w:rsidRPr="004F383A">
        <w:rPr>
          <w:rFonts w:ascii="Times" w:hAnsi="Times"/>
          <w:sz w:val="24"/>
          <w:szCs w:val="24"/>
        </w:rPr>
        <w:t xml:space="preserve"> Tsing, H</w:t>
      </w:r>
      <w:r w:rsidR="000B2FFD">
        <w:rPr>
          <w:rFonts w:ascii="Times" w:hAnsi="Times"/>
          <w:sz w:val="24"/>
          <w:szCs w:val="24"/>
        </w:rPr>
        <w:t>eather</w:t>
      </w:r>
      <w:r w:rsidRPr="004F383A">
        <w:rPr>
          <w:rFonts w:ascii="Times" w:hAnsi="Times"/>
          <w:sz w:val="24"/>
          <w:szCs w:val="24"/>
        </w:rPr>
        <w:t xml:space="preserve"> Swanson, E</w:t>
      </w:r>
      <w:r w:rsidR="000B2FFD">
        <w:rPr>
          <w:rFonts w:ascii="Times" w:hAnsi="Times"/>
          <w:sz w:val="24"/>
          <w:szCs w:val="24"/>
        </w:rPr>
        <w:t>laine</w:t>
      </w:r>
      <w:r w:rsidRPr="004F383A">
        <w:rPr>
          <w:rFonts w:ascii="Times" w:hAnsi="Times"/>
          <w:sz w:val="24"/>
          <w:szCs w:val="24"/>
        </w:rPr>
        <w:t xml:space="preserve"> Gan and N</w:t>
      </w:r>
      <w:r w:rsidR="000B2FFD">
        <w:rPr>
          <w:rFonts w:ascii="Times" w:hAnsi="Times"/>
          <w:sz w:val="24"/>
          <w:szCs w:val="24"/>
        </w:rPr>
        <w:t>ils</w:t>
      </w:r>
      <w:r w:rsidRPr="004F383A">
        <w:rPr>
          <w:rFonts w:ascii="Times" w:hAnsi="Times"/>
          <w:sz w:val="24"/>
          <w:szCs w:val="24"/>
        </w:rPr>
        <w:t xml:space="preserve"> Bubandt (Minneapolis: University of Minnesota Press, 2017),</w:t>
      </w:r>
      <w:r w:rsidRPr="004F383A">
        <w:rPr>
          <w:rFonts w:ascii="Times" w:hAnsi="Times" w:cs="Times New Roman"/>
          <w:sz w:val="24"/>
          <w:szCs w:val="24"/>
        </w:rPr>
        <w:t xml:space="preserve"> M73-M90. emphasis in original. </w:t>
      </w:r>
    </w:p>
  </w:endnote>
  <w:endnote w:id="20">
    <w:p w14:paraId="265D1897" w14:textId="416132BF" w:rsidR="00343BBA" w:rsidRPr="004F383A" w:rsidRDefault="00343BBA" w:rsidP="009C3BBA">
      <w:pPr>
        <w:rPr>
          <w:rFonts w:ascii="Times" w:hAnsi="Times"/>
          <w:sz w:val="24"/>
          <w:szCs w:val="24"/>
          <w:lang w:val="en-US"/>
        </w:rPr>
      </w:pPr>
      <w:r w:rsidRPr="004F383A">
        <w:rPr>
          <w:rStyle w:val="EndnoteReference"/>
          <w:rFonts w:ascii="Times" w:hAnsi="Times"/>
          <w:sz w:val="24"/>
          <w:szCs w:val="24"/>
        </w:rPr>
        <w:endnoteRef/>
      </w:r>
      <w:r w:rsidRPr="004F383A">
        <w:rPr>
          <w:rFonts w:ascii="Times" w:hAnsi="Times"/>
          <w:sz w:val="24"/>
          <w:szCs w:val="24"/>
        </w:rPr>
        <w:t xml:space="preserve"> </w:t>
      </w:r>
      <w:r w:rsidR="009C3BBA" w:rsidRPr="004F383A">
        <w:rPr>
          <w:rFonts w:ascii="Times" w:hAnsi="Times"/>
          <w:sz w:val="24"/>
          <w:szCs w:val="24"/>
        </w:rPr>
        <w:t xml:space="preserve">Donna </w:t>
      </w:r>
      <w:r w:rsidR="009C3BBA" w:rsidRPr="004F383A">
        <w:rPr>
          <w:rFonts w:ascii="Times" w:hAnsi="Times" w:cs="Times New Roman"/>
          <w:sz w:val="24"/>
          <w:szCs w:val="24"/>
        </w:rPr>
        <w:t>Haraway, “</w:t>
      </w:r>
      <w:proofErr w:type="spellStart"/>
      <w:r w:rsidR="009C3BBA" w:rsidRPr="004F383A">
        <w:rPr>
          <w:rFonts w:ascii="Times" w:hAnsi="Times" w:cs="Times New Roman"/>
          <w:sz w:val="24"/>
          <w:szCs w:val="24"/>
        </w:rPr>
        <w:t>Symbiogenesis</w:t>
      </w:r>
      <w:proofErr w:type="spellEnd"/>
      <w:r w:rsidR="009C3BBA" w:rsidRPr="004F383A">
        <w:rPr>
          <w:rFonts w:ascii="Times" w:hAnsi="Times" w:cs="Times New Roman"/>
          <w:sz w:val="24"/>
          <w:szCs w:val="24"/>
        </w:rPr>
        <w:t xml:space="preserve">, </w:t>
      </w:r>
      <w:proofErr w:type="spellStart"/>
      <w:r w:rsidR="009C3BBA" w:rsidRPr="004F383A">
        <w:rPr>
          <w:rFonts w:ascii="Times" w:hAnsi="Times" w:cs="Times New Roman"/>
          <w:sz w:val="24"/>
          <w:szCs w:val="24"/>
        </w:rPr>
        <w:t>Sympoiesis</w:t>
      </w:r>
      <w:proofErr w:type="spellEnd"/>
      <w:r w:rsidR="009C3BBA" w:rsidRPr="004F383A">
        <w:rPr>
          <w:rFonts w:ascii="Times" w:hAnsi="Times" w:cs="Times New Roman"/>
          <w:sz w:val="24"/>
          <w:szCs w:val="24"/>
        </w:rPr>
        <w:t xml:space="preserve">, and Art Science Activisms for Staying with the Trouble,” in </w:t>
      </w:r>
      <w:r w:rsidR="009C3BBA" w:rsidRPr="004F383A">
        <w:rPr>
          <w:rFonts w:ascii="Times" w:hAnsi="Times" w:cs="Times New Roman"/>
          <w:i/>
          <w:sz w:val="24"/>
          <w:szCs w:val="24"/>
        </w:rPr>
        <w:t>Arts of Living on a Damaged Planet</w:t>
      </w:r>
      <w:r w:rsidR="009C3BBA" w:rsidRPr="004F383A">
        <w:rPr>
          <w:rFonts w:ascii="Times" w:hAnsi="Times" w:cs="Times New Roman"/>
          <w:sz w:val="24"/>
          <w:szCs w:val="24"/>
        </w:rPr>
        <w:t xml:space="preserve">, M45.  </w:t>
      </w:r>
    </w:p>
  </w:endnote>
  <w:endnote w:id="21">
    <w:p w14:paraId="5CD6F51C" w14:textId="7F0DDA49" w:rsidR="00F34A08" w:rsidRPr="004F383A" w:rsidRDefault="00F34A08">
      <w:pPr>
        <w:pStyle w:val="EndnoteText"/>
        <w:rPr>
          <w:rFonts w:ascii="Times" w:hAnsi="Times"/>
          <w:sz w:val="24"/>
          <w:szCs w:val="24"/>
          <w:lang w:val="en-US"/>
        </w:rPr>
      </w:pPr>
      <w:r w:rsidRPr="004F383A">
        <w:rPr>
          <w:rStyle w:val="EndnoteReference"/>
          <w:rFonts w:ascii="Times" w:hAnsi="Times"/>
          <w:sz w:val="24"/>
          <w:szCs w:val="24"/>
        </w:rPr>
        <w:endnoteRef/>
      </w:r>
      <w:r w:rsidRPr="004F383A">
        <w:rPr>
          <w:rFonts w:ascii="Times" w:hAnsi="Times"/>
          <w:sz w:val="24"/>
          <w:szCs w:val="24"/>
        </w:rPr>
        <w:t xml:space="preserve"> </w:t>
      </w:r>
      <w:r w:rsidRPr="004F383A">
        <w:rPr>
          <w:rFonts w:ascii="Times" w:hAnsi="Times" w:cs="Times New Roman"/>
          <w:sz w:val="24"/>
          <w:szCs w:val="24"/>
        </w:rPr>
        <w:t xml:space="preserve">Tsing et al. </w:t>
      </w:r>
      <w:r w:rsidRPr="004F383A">
        <w:rPr>
          <w:rFonts w:ascii="Times" w:hAnsi="Times" w:cs="Times New Roman"/>
          <w:i/>
          <w:sz w:val="24"/>
          <w:szCs w:val="24"/>
        </w:rPr>
        <w:t>Arts of Living on a Damaged Planet</w:t>
      </w:r>
      <w:r w:rsidRPr="004F383A">
        <w:rPr>
          <w:rFonts w:ascii="Times" w:hAnsi="Times" w:cs="Times New Roman"/>
          <w:sz w:val="24"/>
          <w:szCs w:val="24"/>
        </w:rPr>
        <w:t xml:space="preserve">, M3. </w:t>
      </w:r>
    </w:p>
  </w:endnote>
  <w:endnote w:id="22">
    <w:p w14:paraId="1DCEC0CE" w14:textId="27705D48" w:rsidR="00F34A08" w:rsidRPr="004F383A" w:rsidRDefault="00F34A08">
      <w:pPr>
        <w:pStyle w:val="EndnoteText"/>
        <w:rPr>
          <w:rFonts w:ascii="Times" w:hAnsi="Times"/>
          <w:sz w:val="24"/>
          <w:szCs w:val="24"/>
          <w:lang w:val="en-US"/>
        </w:rPr>
      </w:pPr>
      <w:r w:rsidRPr="004F383A">
        <w:rPr>
          <w:rStyle w:val="EndnoteReference"/>
          <w:rFonts w:ascii="Times" w:hAnsi="Times"/>
          <w:sz w:val="24"/>
          <w:szCs w:val="24"/>
        </w:rPr>
        <w:endnoteRef/>
      </w:r>
      <w:r w:rsidRPr="004F383A">
        <w:rPr>
          <w:rFonts w:ascii="Times" w:hAnsi="Times"/>
          <w:sz w:val="24"/>
          <w:szCs w:val="24"/>
        </w:rPr>
        <w:t xml:space="preserve"> Ibid. M176.</w:t>
      </w:r>
    </w:p>
  </w:endnote>
  <w:endnote w:id="23">
    <w:p w14:paraId="0BE76538" w14:textId="3157C2A4" w:rsidR="00F34A08" w:rsidRPr="004F383A" w:rsidRDefault="00F34A08">
      <w:pPr>
        <w:pStyle w:val="EndnoteText"/>
        <w:rPr>
          <w:rFonts w:ascii="Times" w:hAnsi="Times"/>
          <w:sz w:val="24"/>
          <w:szCs w:val="24"/>
          <w:lang w:val="en-US"/>
        </w:rPr>
      </w:pPr>
      <w:r w:rsidRPr="004F383A">
        <w:rPr>
          <w:rStyle w:val="EndnoteReference"/>
          <w:rFonts w:ascii="Times" w:hAnsi="Times"/>
          <w:sz w:val="24"/>
          <w:szCs w:val="24"/>
        </w:rPr>
        <w:endnoteRef/>
      </w:r>
      <w:r w:rsidRPr="004F383A">
        <w:rPr>
          <w:rFonts w:ascii="Times" w:hAnsi="Times"/>
          <w:sz w:val="24"/>
          <w:szCs w:val="24"/>
        </w:rPr>
        <w:t xml:space="preserve"> Ibid. </w:t>
      </w:r>
      <w:r w:rsidRPr="004F383A">
        <w:rPr>
          <w:rFonts w:ascii="Times" w:hAnsi="Times" w:cs="Times New Roman"/>
          <w:sz w:val="24"/>
          <w:szCs w:val="24"/>
        </w:rPr>
        <w:t>M3.</w:t>
      </w:r>
    </w:p>
  </w:endnote>
  <w:endnote w:id="24">
    <w:p w14:paraId="6E711AE1" w14:textId="4096AC1A" w:rsidR="00F34A08" w:rsidRPr="004F383A" w:rsidRDefault="00F34A08">
      <w:pPr>
        <w:pStyle w:val="EndnoteText"/>
        <w:rPr>
          <w:rFonts w:ascii="Times" w:hAnsi="Times"/>
          <w:sz w:val="24"/>
          <w:szCs w:val="24"/>
          <w:lang w:val="en-US"/>
        </w:rPr>
      </w:pPr>
      <w:r w:rsidRPr="004F383A">
        <w:rPr>
          <w:rStyle w:val="EndnoteReference"/>
          <w:rFonts w:ascii="Times" w:hAnsi="Times"/>
          <w:sz w:val="24"/>
          <w:szCs w:val="24"/>
        </w:rPr>
        <w:endnoteRef/>
      </w:r>
      <w:r w:rsidRPr="004F383A">
        <w:rPr>
          <w:rFonts w:ascii="Times" w:hAnsi="Times"/>
          <w:sz w:val="24"/>
          <w:szCs w:val="24"/>
        </w:rPr>
        <w:t xml:space="preserve"> Ibid. </w:t>
      </w:r>
      <w:r w:rsidRPr="004F383A">
        <w:rPr>
          <w:rFonts w:ascii="Times" w:hAnsi="Times" w:cs="Times New Roman"/>
          <w:sz w:val="24"/>
          <w:szCs w:val="24"/>
        </w:rPr>
        <w:t>M176.</w:t>
      </w:r>
    </w:p>
  </w:endnote>
  <w:endnote w:id="25">
    <w:p w14:paraId="30BD8B6E" w14:textId="22D288D7" w:rsidR="00F34A08" w:rsidRPr="004F383A" w:rsidRDefault="00F34A08" w:rsidP="00F34A08">
      <w:pPr>
        <w:rPr>
          <w:rFonts w:ascii="Times" w:hAnsi="Times" w:cs="Times New Roman"/>
          <w:sz w:val="24"/>
          <w:szCs w:val="24"/>
        </w:rPr>
      </w:pPr>
      <w:r w:rsidRPr="004F383A">
        <w:rPr>
          <w:rStyle w:val="EndnoteReference"/>
          <w:rFonts w:ascii="Times" w:hAnsi="Times"/>
          <w:sz w:val="24"/>
          <w:szCs w:val="24"/>
        </w:rPr>
        <w:endnoteRef/>
      </w:r>
      <w:r w:rsidRPr="004F383A">
        <w:rPr>
          <w:rFonts w:ascii="Times" w:hAnsi="Times"/>
          <w:sz w:val="24"/>
          <w:szCs w:val="24"/>
        </w:rPr>
        <w:t xml:space="preserve"> See Denis </w:t>
      </w:r>
      <w:r w:rsidRPr="004F383A">
        <w:rPr>
          <w:rFonts w:ascii="Times" w:hAnsi="Times" w:cs="Times New Roman"/>
          <w:sz w:val="24"/>
          <w:szCs w:val="24"/>
        </w:rPr>
        <w:t xml:space="preserve">Byrne, </w:t>
      </w:r>
      <w:proofErr w:type="spellStart"/>
      <w:r w:rsidRPr="004F383A">
        <w:rPr>
          <w:rFonts w:ascii="Times" w:hAnsi="Times" w:cs="Times New Roman"/>
          <w:i/>
          <w:iCs/>
          <w:sz w:val="24"/>
          <w:szCs w:val="24"/>
        </w:rPr>
        <w:t>Counterheritage</w:t>
      </w:r>
      <w:proofErr w:type="spellEnd"/>
      <w:r w:rsidRPr="004F383A">
        <w:rPr>
          <w:rFonts w:ascii="Times" w:hAnsi="Times" w:cs="Times New Roman"/>
          <w:i/>
          <w:iCs/>
          <w:sz w:val="24"/>
          <w:szCs w:val="24"/>
        </w:rPr>
        <w:t>: Critical Perspectives on Heritage Conservation in Asia</w:t>
      </w:r>
      <w:r w:rsidRPr="004F383A">
        <w:rPr>
          <w:rFonts w:ascii="Times" w:hAnsi="Times" w:cs="Times New Roman"/>
          <w:sz w:val="24"/>
          <w:szCs w:val="24"/>
        </w:rPr>
        <w:t xml:space="preserve"> (New York: Routledge; 2014); J</w:t>
      </w:r>
      <w:r w:rsidR="001B75A6">
        <w:rPr>
          <w:rFonts w:ascii="Times" w:hAnsi="Times" w:cs="Times New Roman"/>
          <w:sz w:val="24"/>
          <w:szCs w:val="24"/>
        </w:rPr>
        <w:t>ohn</w:t>
      </w:r>
      <w:r w:rsidRPr="004F383A">
        <w:rPr>
          <w:rFonts w:ascii="Times" w:hAnsi="Times" w:cs="Times New Roman"/>
          <w:sz w:val="24"/>
          <w:szCs w:val="24"/>
        </w:rPr>
        <w:t xml:space="preserve"> Kelechi Ugwuanyi, “Human-Nature Offspringing: Indigenous Thoughts on Posthuman Heritage,” in </w:t>
      </w:r>
      <w:proofErr w:type="spellStart"/>
      <w:r w:rsidRPr="004F383A">
        <w:rPr>
          <w:rFonts w:ascii="Times" w:hAnsi="Times" w:cs="Times New Roman"/>
          <w:i/>
          <w:iCs/>
          <w:sz w:val="24"/>
          <w:szCs w:val="24"/>
        </w:rPr>
        <w:t>Deterritorializing</w:t>
      </w:r>
      <w:proofErr w:type="spellEnd"/>
      <w:r w:rsidRPr="004F383A">
        <w:rPr>
          <w:rFonts w:ascii="Times" w:hAnsi="Times" w:cs="Times New Roman"/>
          <w:i/>
          <w:iCs/>
          <w:sz w:val="24"/>
          <w:szCs w:val="24"/>
        </w:rPr>
        <w:t xml:space="preserve"> the Future: Heritage in, of and after the Anthropocene</w:t>
      </w:r>
      <w:r w:rsidRPr="004F383A">
        <w:rPr>
          <w:rFonts w:ascii="Times" w:hAnsi="Times" w:cs="Times New Roman"/>
          <w:sz w:val="24"/>
          <w:szCs w:val="24"/>
        </w:rPr>
        <w:t>, ed. by R</w:t>
      </w:r>
      <w:r w:rsidR="000B2FFD">
        <w:rPr>
          <w:rFonts w:ascii="Times" w:hAnsi="Times" w:cs="Times New Roman"/>
          <w:sz w:val="24"/>
          <w:szCs w:val="24"/>
        </w:rPr>
        <w:t>odney</w:t>
      </w:r>
      <w:r w:rsidRPr="004F383A">
        <w:rPr>
          <w:rFonts w:ascii="Times" w:hAnsi="Times" w:cs="Times New Roman"/>
          <w:sz w:val="24"/>
          <w:szCs w:val="24"/>
        </w:rPr>
        <w:t xml:space="preserve"> Harrison and C</w:t>
      </w:r>
      <w:r w:rsidR="000B2FFD">
        <w:rPr>
          <w:rFonts w:ascii="Times" w:hAnsi="Times" w:cs="Times New Roman"/>
          <w:sz w:val="24"/>
          <w:szCs w:val="24"/>
        </w:rPr>
        <w:t>olin</w:t>
      </w:r>
      <w:r w:rsidRPr="004F383A">
        <w:rPr>
          <w:rFonts w:ascii="Times" w:hAnsi="Times" w:cs="Times New Roman"/>
          <w:sz w:val="24"/>
          <w:szCs w:val="24"/>
        </w:rPr>
        <w:t xml:space="preserve"> Sterling (London: Open Humanities Press. 2020), 266–288; Alexandre </w:t>
      </w:r>
      <w:proofErr w:type="spellStart"/>
      <w:r w:rsidRPr="004F383A">
        <w:rPr>
          <w:rFonts w:ascii="Times" w:hAnsi="Times" w:cs="Times New Roman"/>
          <w:sz w:val="24"/>
          <w:szCs w:val="24"/>
        </w:rPr>
        <w:t>Surrallés</w:t>
      </w:r>
      <w:proofErr w:type="spellEnd"/>
      <w:r w:rsidRPr="004F383A">
        <w:rPr>
          <w:rFonts w:ascii="Times" w:hAnsi="Times" w:cs="Times New Roman"/>
          <w:sz w:val="24"/>
          <w:szCs w:val="24"/>
        </w:rPr>
        <w:t xml:space="preserve">, “Human rights for nonhumans?” </w:t>
      </w:r>
      <w:r w:rsidRPr="004F383A">
        <w:rPr>
          <w:rFonts w:ascii="Times" w:hAnsi="Times" w:cs="Times New Roman"/>
          <w:i/>
          <w:sz w:val="24"/>
          <w:szCs w:val="24"/>
        </w:rPr>
        <w:t>HAU: Journal of Ethnographic Theory</w:t>
      </w:r>
      <w:r w:rsidRPr="004F383A">
        <w:rPr>
          <w:rFonts w:ascii="Times" w:hAnsi="Times" w:cs="Times New Roman"/>
          <w:sz w:val="24"/>
          <w:szCs w:val="24"/>
        </w:rPr>
        <w:t xml:space="preserve"> Vol. 7, No. 3 (2017): 211–235. </w:t>
      </w:r>
    </w:p>
    <w:p w14:paraId="6F11D801" w14:textId="729AB806" w:rsidR="00F34A08" w:rsidRPr="004F383A" w:rsidRDefault="00F34A08" w:rsidP="00F34A08">
      <w:pPr>
        <w:rPr>
          <w:rFonts w:ascii="Times" w:hAnsi="Times"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2017100"/>
      <w:docPartObj>
        <w:docPartGallery w:val="Page Numbers (Bottom of Page)"/>
        <w:docPartUnique/>
      </w:docPartObj>
    </w:sdtPr>
    <w:sdtContent>
      <w:p w14:paraId="04E387C1" w14:textId="32E6E09D" w:rsidR="00F47C57" w:rsidRDefault="00F47C57" w:rsidP="000F73D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761A81" w14:textId="77777777" w:rsidR="00F47C57" w:rsidRDefault="00F47C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5391870"/>
      <w:docPartObj>
        <w:docPartGallery w:val="Page Numbers (Bottom of Page)"/>
        <w:docPartUnique/>
      </w:docPartObj>
    </w:sdtPr>
    <w:sdtContent>
      <w:p w14:paraId="09CFF8C8" w14:textId="46F18BE0" w:rsidR="00F47C57" w:rsidRDefault="00F47C57" w:rsidP="000F73D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260663" w14:textId="77777777" w:rsidR="00F47C57" w:rsidRDefault="00F47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5776B" w14:textId="77777777" w:rsidR="00BF4985" w:rsidRDefault="00BF4985" w:rsidP="00F47C57">
      <w:pPr>
        <w:spacing w:line="240" w:lineRule="auto"/>
      </w:pPr>
      <w:r>
        <w:separator/>
      </w:r>
    </w:p>
  </w:footnote>
  <w:footnote w:type="continuationSeparator" w:id="0">
    <w:p w14:paraId="202A2FCB" w14:textId="77777777" w:rsidR="00BF4985" w:rsidRDefault="00BF4985" w:rsidP="00F47C5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43F"/>
    <w:rsid w:val="00020BCB"/>
    <w:rsid w:val="0002506D"/>
    <w:rsid w:val="00030D6A"/>
    <w:rsid w:val="000457B5"/>
    <w:rsid w:val="00081339"/>
    <w:rsid w:val="00085BF2"/>
    <w:rsid w:val="00087AC3"/>
    <w:rsid w:val="000B2FFD"/>
    <w:rsid w:val="000F0026"/>
    <w:rsid w:val="00126115"/>
    <w:rsid w:val="0015088A"/>
    <w:rsid w:val="0016310C"/>
    <w:rsid w:val="00194C49"/>
    <w:rsid w:val="001B75A6"/>
    <w:rsid w:val="00254499"/>
    <w:rsid w:val="002567E5"/>
    <w:rsid w:val="00260EF8"/>
    <w:rsid w:val="002B1130"/>
    <w:rsid w:val="002B6120"/>
    <w:rsid w:val="002B727E"/>
    <w:rsid w:val="002D5D58"/>
    <w:rsid w:val="003350CE"/>
    <w:rsid w:val="00336537"/>
    <w:rsid w:val="00343BBA"/>
    <w:rsid w:val="00355644"/>
    <w:rsid w:val="003573AE"/>
    <w:rsid w:val="003679A9"/>
    <w:rsid w:val="00375CB6"/>
    <w:rsid w:val="0038317B"/>
    <w:rsid w:val="003A4B3B"/>
    <w:rsid w:val="004171FF"/>
    <w:rsid w:val="00484A89"/>
    <w:rsid w:val="004917B0"/>
    <w:rsid w:val="00496DB7"/>
    <w:rsid w:val="004B6AFD"/>
    <w:rsid w:val="004F383A"/>
    <w:rsid w:val="00507033"/>
    <w:rsid w:val="00560655"/>
    <w:rsid w:val="005828B7"/>
    <w:rsid w:val="005A6878"/>
    <w:rsid w:val="005C3E22"/>
    <w:rsid w:val="005C5933"/>
    <w:rsid w:val="0061700F"/>
    <w:rsid w:val="006533AB"/>
    <w:rsid w:val="0066322D"/>
    <w:rsid w:val="00663F9C"/>
    <w:rsid w:val="006A4535"/>
    <w:rsid w:val="006B026A"/>
    <w:rsid w:val="006B12FF"/>
    <w:rsid w:val="006B60C3"/>
    <w:rsid w:val="006D0216"/>
    <w:rsid w:val="006E61B0"/>
    <w:rsid w:val="00713971"/>
    <w:rsid w:val="00716E66"/>
    <w:rsid w:val="0075498E"/>
    <w:rsid w:val="0076576D"/>
    <w:rsid w:val="007868FC"/>
    <w:rsid w:val="007E7BB5"/>
    <w:rsid w:val="007F7EEB"/>
    <w:rsid w:val="00835F70"/>
    <w:rsid w:val="00850AEC"/>
    <w:rsid w:val="00856395"/>
    <w:rsid w:val="0088043F"/>
    <w:rsid w:val="008F1051"/>
    <w:rsid w:val="00900CE8"/>
    <w:rsid w:val="009019A0"/>
    <w:rsid w:val="009569CB"/>
    <w:rsid w:val="00957170"/>
    <w:rsid w:val="009C3BBA"/>
    <w:rsid w:val="009E3B7E"/>
    <w:rsid w:val="009F0D6A"/>
    <w:rsid w:val="009F3438"/>
    <w:rsid w:val="00A44B30"/>
    <w:rsid w:val="00A64F1D"/>
    <w:rsid w:val="00A95F51"/>
    <w:rsid w:val="00AA37D0"/>
    <w:rsid w:val="00AD1F12"/>
    <w:rsid w:val="00AE6EAE"/>
    <w:rsid w:val="00B14171"/>
    <w:rsid w:val="00B537C7"/>
    <w:rsid w:val="00B945D1"/>
    <w:rsid w:val="00BD548B"/>
    <w:rsid w:val="00BF4985"/>
    <w:rsid w:val="00BF569D"/>
    <w:rsid w:val="00C170FD"/>
    <w:rsid w:val="00C246DD"/>
    <w:rsid w:val="00C50982"/>
    <w:rsid w:val="00C80A75"/>
    <w:rsid w:val="00C81731"/>
    <w:rsid w:val="00CE1123"/>
    <w:rsid w:val="00CE468D"/>
    <w:rsid w:val="00D00ABE"/>
    <w:rsid w:val="00D35B61"/>
    <w:rsid w:val="00D54B85"/>
    <w:rsid w:val="00D56FE6"/>
    <w:rsid w:val="00D84CD2"/>
    <w:rsid w:val="00DB3FAC"/>
    <w:rsid w:val="00DD5F47"/>
    <w:rsid w:val="00DE71E9"/>
    <w:rsid w:val="00E15D57"/>
    <w:rsid w:val="00E226C4"/>
    <w:rsid w:val="00E57B77"/>
    <w:rsid w:val="00E6707C"/>
    <w:rsid w:val="00E75A4D"/>
    <w:rsid w:val="00E77B3D"/>
    <w:rsid w:val="00E80EB4"/>
    <w:rsid w:val="00F178B4"/>
    <w:rsid w:val="00F21CDD"/>
    <w:rsid w:val="00F22E18"/>
    <w:rsid w:val="00F31CFD"/>
    <w:rsid w:val="00F34A08"/>
    <w:rsid w:val="00F47C57"/>
    <w:rsid w:val="00F66902"/>
    <w:rsid w:val="00F97BC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2F1EE"/>
  <w15:docId w15:val="{F7B2E425-B0A5-2D4A-9DAF-AC588006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6B026A"/>
    <w:rPr>
      <w:sz w:val="16"/>
      <w:szCs w:val="16"/>
    </w:rPr>
  </w:style>
  <w:style w:type="paragraph" w:styleId="CommentText">
    <w:name w:val="annotation text"/>
    <w:basedOn w:val="Normal"/>
    <w:link w:val="CommentTextChar"/>
    <w:uiPriority w:val="99"/>
    <w:unhideWhenUsed/>
    <w:rsid w:val="006B026A"/>
    <w:pPr>
      <w:spacing w:line="240" w:lineRule="auto"/>
    </w:pPr>
    <w:rPr>
      <w:sz w:val="20"/>
      <w:szCs w:val="20"/>
    </w:rPr>
  </w:style>
  <w:style w:type="character" w:customStyle="1" w:styleId="CommentTextChar">
    <w:name w:val="Comment Text Char"/>
    <w:basedOn w:val="DefaultParagraphFont"/>
    <w:link w:val="CommentText"/>
    <w:uiPriority w:val="99"/>
    <w:rsid w:val="006B026A"/>
    <w:rPr>
      <w:sz w:val="20"/>
      <w:szCs w:val="20"/>
    </w:rPr>
  </w:style>
  <w:style w:type="paragraph" w:styleId="CommentSubject">
    <w:name w:val="annotation subject"/>
    <w:basedOn w:val="CommentText"/>
    <w:next w:val="CommentText"/>
    <w:link w:val="CommentSubjectChar"/>
    <w:uiPriority w:val="99"/>
    <w:semiHidden/>
    <w:unhideWhenUsed/>
    <w:rsid w:val="006B026A"/>
    <w:rPr>
      <w:b/>
      <w:bCs/>
    </w:rPr>
  </w:style>
  <w:style w:type="character" w:customStyle="1" w:styleId="CommentSubjectChar">
    <w:name w:val="Comment Subject Char"/>
    <w:basedOn w:val="CommentTextChar"/>
    <w:link w:val="CommentSubject"/>
    <w:uiPriority w:val="99"/>
    <w:semiHidden/>
    <w:rsid w:val="006B026A"/>
    <w:rPr>
      <w:b/>
      <w:bCs/>
      <w:sz w:val="20"/>
      <w:szCs w:val="20"/>
    </w:rPr>
  </w:style>
  <w:style w:type="character" w:styleId="Hyperlink">
    <w:name w:val="Hyperlink"/>
    <w:basedOn w:val="DefaultParagraphFont"/>
    <w:uiPriority w:val="99"/>
    <w:unhideWhenUsed/>
    <w:rsid w:val="006B026A"/>
    <w:rPr>
      <w:color w:val="0000FF" w:themeColor="hyperlink"/>
      <w:u w:val="single"/>
    </w:rPr>
  </w:style>
  <w:style w:type="character" w:styleId="UnresolvedMention">
    <w:name w:val="Unresolved Mention"/>
    <w:basedOn w:val="DefaultParagraphFont"/>
    <w:uiPriority w:val="99"/>
    <w:semiHidden/>
    <w:unhideWhenUsed/>
    <w:rsid w:val="006B026A"/>
    <w:rPr>
      <w:color w:val="605E5C"/>
      <w:shd w:val="clear" w:color="auto" w:fill="E1DFDD"/>
    </w:rPr>
  </w:style>
  <w:style w:type="paragraph" w:customStyle="1" w:styleId="font8">
    <w:name w:val="font_8"/>
    <w:basedOn w:val="Normal"/>
    <w:rsid w:val="00C80A7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80A75"/>
    <w:rPr>
      <w:color w:val="800080" w:themeColor="followedHyperlink"/>
      <w:u w:val="single"/>
    </w:rPr>
  </w:style>
  <w:style w:type="paragraph" w:styleId="Footer">
    <w:name w:val="footer"/>
    <w:basedOn w:val="Normal"/>
    <w:link w:val="FooterChar"/>
    <w:uiPriority w:val="99"/>
    <w:unhideWhenUsed/>
    <w:rsid w:val="00F47C57"/>
    <w:pPr>
      <w:tabs>
        <w:tab w:val="center" w:pos="4513"/>
        <w:tab w:val="right" w:pos="9026"/>
      </w:tabs>
      <w:spacing w:line="240" w:lineRule="auto"/>
    </w:pPr>
  </w:style>
  <w:style w:type="character" w:customStyle="1" w:styleId="FooterChar">
    <w:name w:val="Footer Char"/>
    <w:basedOn w:val="DefaultParagraphFont"/>
    <w:link w:val="Footer"/>
    <w:uiPriority w:val="99"/>
    <w:rsid w:val="00F47C57"/>
  </w:style>
  <w:style w:type="character" w:styleId="PageNumber">
    <w:name w:val="page number"/>
    <w:basedOn w:val="DefaultParagraphFont"/>
    <w:uiPriority w:val="99"/>
    <w:semiHidden/>
    <w:unhideWhenUsed/>
    <w:rsid w:val="00F47C57"/>
  </w:style>
  <w:style w:type="paragraph" w:styleId="EndnoteText">
    <w:name w:val="endnote text"/>
    <w:basedOn w:val="Normal"/>
    <w:link w:val="EndnoteTextChar"/>
    <w:uiPriority w:val="99"/>
    <w:unhideWhenUsed/>
    <w:rsid w:val="00A44B30"/>
    <w:pPr>
      <w:spacing w:line="240" w:lineRule="auto"/>
    </w:pPr>
    <w:rPr>
      <w:sz w:val="20"/>
      <w:szCs w:val="20"/>
    </w:rPr>
  </w:style>
  <w:style w:type="character" w:customStyle="1" w:styleId="EndnoteTextChar">
    <w:name w:val="Endnote Text Char"/>
    <w:basedOn w:val="DefaultParagraphFont"/>
    <w:link w:val="EndnoteText"/>
    <w:uiPriority w:val="99"/>
    <w:rsid w:val="00A44B30"/>
    <w:rPr>
      <w:sz w:val="20"/>
      <w:szCs w:val="20"/>
    </w:rPr>
  </w:style>
  <w:style w:type="character" w:styleId="EndnoteReference">
    <w:name w:val="endnote reference"/>
    <w:basedOn w:val="DefaultParagraphFont"/>
    <w:uiPriority w:val="99"/>
    <w:semiHidden/>
    <w:unhideWhenUsed/>
    <w:rsid w:val="00A44B30"/>
    <w:rPr>
      <w:vertAlign w:val="superscript"/>
    </w:rPr>
  </w:style>
  <w:style w:type="paragraph" w:styleId="Revision">
    <w:name w:val="Revision"/>
    <w:hidden/>
    <w:uiPriority w:val="99"/>
    <w:semiHidden/>
    <w:rsid w:val="00F22E1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2268">
      <w:bodyDiv w:val="1"/>
      <w:marLeft w:val="0"/>
      <w:marRight w:val="0"/>
      <w:marTop w:val="0"/>
      <w:marBottom w:val="0"/>
      <w:divBdr>
        <w:top w:val="none" w:sz="0" w:space="0" w:color="auto"/>
        <w:left w:val="none" w:sz="0" w:space="0" w:color="auto"/>
        <w:bottom w:val="none" w:sz="0" w:space="0" w:color="auto"/>
        <w:right w:val="none" w:sz="0" w:space="0" w:color="auto"/>
      </w:divBdr>
    </w:div>
    <w:div w:id="437456055">
      <w:bodyDiv w:val="1"/>
      <w:marLeft w:val="0"/>
      <w:marRight w:val="0"/>
      <w:marTop w:val="0"/>
      <w:marBottom w:val="0"/>
      <w:divBdr>
        <w:top w:val="none" w:sz="0" w:space="0" w:color="auto"/>
        <w:left w:val="none" w:sz="0" w:space="0" w:color="auto"/>
        <w:bottom w:val="none" w:sz="0" w:space="0" w:color="auto"/>
        <w:right w:val="none" w:sz="0" w:space="0" w:color="auto"/>
      </w:divBdr>
    </w:div>
    <w:div w:id="805508028">
      <w:bodyDiv w:val="1"/>
      <w:marLeft w:val="0"/>
      <w:marRight w:val="0"/>
      <w:marTop w:val="0"/>
      <w:marBottom w:val="0"/>
      <w:divBdr>
        <w:top w:val="none" w:sz="0" w:space="0" w:color="auto"/>
        <w:left w:val="none" w:sz="0" w:space="0" w:color="auto"/>
        <w:bottom w:val="none" w:sz="0" w:space="0" w:color="auto"/>
        <w:right w:val="none" w:sz="0" w:space="0" w:color="auto"/>
      </w:divBdr>
    </w:div>
    <w:div w:id="905140983">
      <w:bodyDiv w:val="1"/>
      <w:marLeft w:val="0"/>
      <w:marRight w:val="0"/>
      <w:marTop w:val="0"/>
      <w:marBottom w:val="0"/>
      <w:divBdr>
        <w:top w:val="none" w:sz="0" w:space="0" w:color="auto"/>
        <w:left w:val="none" w:sz="0" w:space="0" w:color="auto"/>
        <w:bottom w:val="none" w:sz="0" w:space="0" w:color="auto"/>
        <w:right w:val="none" w:sz="0" w:space="0" w:color="auto"/>
      </w:divBdr>
    </w:div>
    <w:div w:id="979502796">
      <w:bodyDiv w:val="1"/>
      <w:marLeft w:val="0"/>
      <w:marRight w:val="0"/>
      <w:marTop w:val="0"/>
      <w:marBottom w:val="0"/>
      <w:divBdr>
        <w:top w:val="none" w:sz="0" w:space="0" w:color="auto"/>
        <w:left w:val="none" w:sz="0" w:space="0" w:color="auto"/>
        <w:bottom w:val="none" w:sz="0" w:space="0" w:color="auto"/>
        <w:right w:val="none" w:sz="0" w:space="0" w:color="auto"/>
      </w:divBdr>
    </w:div>
    <w:div w:id="1329674722">
      <w:bodyDiv w:val="1"/>
      <w:marLeft w:val="0"/>
      <w:marRight w:val="0"/>
      <w:marTop w:val="0"/>
      <w:marBottom w:val="0"/>
      <w:divBdr>
        <w:top w:val="none" w:sz="0" w:space="0" w:color="auto"/>
        <w:left w:val="none" w:sz="0" w:space="0" w:color="auto"/>
        <w:bottom w:val="none" w:sz="0" w:space="0" w:color="auto"/>
        <w:right w:val="none" w:sz="0" w:space="0" w:color="auto"/>
      </w:divBdr>
    </w:div>
    <w:div w:id="1344357761">
      <w:bodyDiv w:val="1"/>
      <w:marLeft w:val="0"/>
      <w:marRight w:val="0"/>
      <w:marTop w:val="0"/>
      <w:marBottom w:val="0"/>
      <w:divBdr>
        <w:top w:val="none" w:sz="0" w:space="0" w:color="auto"/>
        <w:left w:val="none" w:sz="0" w:space="0" w:color="auto"/>
        <w:bottom w:val="none" w:sz="0" w:space="0" w:color="auto"/>
        <w:right w:val="none" w:sz="0" w:space="0" w:color="auto"/>
      </w:divBdr>
    </w:div>
    <w:div w:id="1353150092">
      <w:bodyDiv w:val="1"/>
      <w:marLeft w:val="0"/>
      <w:marRight w:val="0"/>
      <w:marTop w:val="0"/>
      <w:marBottom w:val="0"/>
      <w:divBdr>
        <w:top w:val="none" w:sz="0" w:space="0" w:color="auto"/>
        <w:left w:val="none" w:sz="0" w:space="0" w:color="auto"/>
        <w:bottom w:val="none" w:sz="0" w:space="0" w:color="auto"/>
        <w:right w:val="none" w:sz="0" w:space="0" w:color="auto"/>
      </w:divBdr>
    </w:div>
    <w:div w:id="1425103324">
      <w:bodyDiv w:val="1"/>
      <w:marLeft w:val="0"/>
      <w:marRight w:val="0"/>
      <w:marTop w:val="0"/>
      <w:marBottom w:val="0"/>
      <w:divBdr>
        <w:top w:val="none" w:sz="0" w:space="0" w:color="auto"/>
        <w:left w:val="none" w:sz="0" w:space="0" w:color="auto"/>
        <w:bottom w:val="none" w:sz="0" w:space="0" w:color="auto"/>
        <w:right w:val="none" w:sz="0" w:space="0" w:color="auto"/>
      </w:divBdr>
    </w:div>
    <w:div w:id="1543591371">
      <w:bodyDiv w:val="1"/>
      <w:marLeft w:val="0"/>
      <w:marRight w:val="0"/>
      <w:marTop w:val="0"/>
      <w:marBottom w:val="0"/>
      <w:divBdr>
        <w:top w:val="none" w:sz="0" w:space="0" w:color="auto"/>
        <w:left w:val="none" w:sz="0" w:space="0" w:color="auto"/>
        <w:bottom w:val="none" w:sz="0" w:space="0" w:color="auto"/>
        <w:right w:val="none" w:sz="0" w:space="0" w:color="auto"/>
      </w:divBdr>
    </w:div>
    <w:div w:id="1643146536">
      <w:bodyDiv w:val="1"/>
      <w:marLeft w:val="0"/>
      <w:marRight w:val="0"/>
      <w:marTop w:val="0"/>
      <w:marBottom w:val="0"/>
      <w:divBdr>
        <w:top w:val="none" w:sz="0" w:space="0" w:color="auto"/>
        <w:left w:val="none" w:sz="0" w:space="0" w:color="auto"/>
        <w:bottom w:val="none" w:sz="0" w:space="0" w:color="auto"/>
        <w:right w:val="none" w:sz="0" w:space="0" w:color="auto"/>
      </w:divBdr>
    </w:div>
    <w:div w:id="1884245545">
      <w:bodyDiv w:val="1"/>
      <w:marLeft w:val="0"/>
      <w:marRight w:val="0"/>
      <w:marTop w:val="0"/>
      <w:marBottom w:val="0"/>
      <w:divBdr>
        <w:top w:val="none" w:sz="0" w:space="0" w:color="auto"/>
        <w:left w:val="none" w:sz="0" w:space="0" w:color="auto"/>
        <w:bottom w:val="none" w:sz="0" w:space="0" w:color="auto"/>
        <w:right w:val="none" w:sz="0" w:space="0" w:color="auto"/>
      </w:divBdr>
    </w:div>
    <w:div w:id="1953710561">
      <w:bodyDiv w:val="1"/>
      <w:marLeft w:val="0"/>
      <w:marRight w:val="0"/>
      <w:marTop w:val="0"/>
      <w:marBottom w:val="0"/>
      <w:divBdr>
        <w:top w:val="none" w:sz="0" w:space="0" w:color="auto"/>
        <w:left w:val="none" w:sz="0" w:space="0" w:color="auto"/>
        <w:bottom w:val="none" w:sz="0" w:space="0" w:color="auto"/>
        <w:right w:val="none" w:sz="0" w:space="0" w:color="auto"/>
      </w:divBdr>
    </w:div>
    <w:div w:id="2001158383">
      <w:bodyDiv w:val="1"/>
      <w:marLeft w:val="0"/>
      <w:marRight w:val="0"/>
      <w:marTop w:val="0"/>
      <w:marBottom w:val="0"/>
      <w:divBdr>
        <w:top w:val="none" w:sz="0" w:space="0" w:color="auto"/>
        <w:left w:val="none" w:sz="0" w:space="0" w:color="auto"/>
        <w:bottom w:val="none" w:sz="0" w:space="0" w:color="auto"/>
        <w:right w:val="none" w:sz="0" w:space="0" w:color="auto"/>
      </w:divBdr>
    </w:div>
    <w:div w:id="2037540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openhumanitiespress.org/books/titles/deterritorializing-the-fu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10</Pages>
  <Words>2950</Words>
  <Characters>16820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dc:creator>
  <cp:lastModifiedBy>Harrison, Rodney</cp:lastModifiedBy>
  <cp:revision>12</cp:revision>
  <cp:lastPrinted>2022-11-26T14:06:00Z</cp:lastPrinted>
  <dcterms:created xsi:type="dcterms:W3CDTF">2022-12-02T19:24:00Z</dcterms:created>
  <dcterms:modified xsi:type="dcterms:W3CDTF">2023-05-11T08:33:00Z</dcterms:modified>
</cp:coreProperties>
</file>